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5"/>
          <w:szCs w:val="25"/>
          <w:b w:val="1"/>
          <w:bCs w:val="1"/>
          <w:color w:val="auto"/>
        </w:rPr>
        <w:t>SUPER HI INTERNATIONAL HOLDING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Paya Lebar Link, #09-04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PLQ 1 Paya Lebar Quarter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408533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+65 6378 1921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60"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Fourth Amended and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 HI INTERNATIONAL HOLDING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Ping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Ping Shu</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FOURTH AMENDED AND RESTATED ARTICLES OF ASSOCIATION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 HI INTERNATIONAL HOLDING LTD.</w:t>
      </w:r>
    </w:p>
    <w:p>
      <w:pPr>
        <w:spacing w:after="0" w:line="34" w:lineRule="exact"/>
        <w:rPr>
          <w:sz w:val="20"/>
          <w:szCs w:val="20"/>
          <w:color w:val="auto"/>
        </w:rPr>
      </w:pPr>
    </w:p>
    <w:p>
      <w:pPr>
        <w:jc w:val="center"/>
        <w:ind w:right="1160"/>
        <w:spacing w:after="0" w:line="216" w:lineRule="exact"/>
        <w:rPr>
          <w:sz w:val="20"/>
          <w:szCs w:val="20"/>
          <w:color w:val="auto"/>
        </w:rPr>
      </w:pPr>
      <w:r>
        <w:rPr>
          <w:rFonts w:ascii="PMingLiU" w:cs="PMingLiU" w:eastAsia="PMingLiU" w:hAnsi="PMingLiU"/>
          <w:sz w:val="18"/>
          <w:szCs w:val="18"/>
          <w:color w:val="auto"/>
        </w:rPr>
        <w:t>特海國際控股有限公司</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(Adopted by a special resolution passed at a general meeting held on </w:t>
      </w:r>
      <w:r>
        <w:rPr>
          <w:rFonts w:ascii="Times New Roman" w:cs="Times New Roman" w:eastAsia="Times New Roman" w:hAnsi="Times New Roman"/>
          <w:sz w:val="17"/>
          <w:szCs w:val="17"/>
          <w:u w:val="single" w:color="auto"/>
          <w:color w:val="auto"/>
        </w:rPr>
        <w:t>June 12,</w:t>
      </w:r>
      <w:r>
        <w:rPr>
          <w:rFonts w:ascii="Times New Roman" w:cs="Times New Roman" w:eastAsia="Times New Roman" w:hAnsi="Times New Roman"/>
          <w:sz w:val="17"/>
          <w:szCs w:val="17"/>
          <w:color w:val="auto"/>
        </w:rPr>
        <w:t xml:space="preserve"> 2026)</w:t>
      </w:r>
    </w:p>
    <w:p>
      <w:pPr>
        <w:spacing w:after="0" w:line="200" w:lineRule="exact"/>
        <w:rPr>
          <w:sz w:val="20"/>
          <w:szCs w:val="20"/>
          <w:color w:val="auto"/>
        </w:rPr>
      </w:pPr>
    </w:p>
    <w:p>
      <w:pPr>
        <w:spacing w:after="0" w:line="2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7120" w:type="dxa"/>
            <w:vAlign w:val="bottom"/>
          </w:tcPr>
          <w:p>
            <w:pPr>
              <w:jc w:val="right"/>
              <w:ind w:right="5230"/>
              <w:spacing w:after="0"/>
              <w:rPr>
                <w:sz w:val="20"/>
                <w:szCs w:val="20"/>
                <w:color w:val="auto"/>
              </w:rPr>
            </w:pPr>
            <w:r>
              <w:rPr>
                <w:rFonts w:ascii="Times New Roman" w:cs="Times New Roman" w:eastAsia="Times New Roman" w:hAnsi="Times New Roman"/>
                <w:sz w:val="18"/>
                <w:szCs w:val="18"/>
                <w:b w:val="1"/>
                <w:bCs w:val="1"/>
                <w:color w:val="auto"/>
              </w:rPr>
              <w:t>INDEX</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No.</w:t>
            </w:r>
          </w:p>
        </w:tc>
      </w:tr>
      <w:tr>
        <w:trPr>
          <w:trHeight w:val="4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Table A</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Alteration of Capital</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 Rights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Lien</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Untraceable Members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Voting</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Proxies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Corporations Acting by Representatives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Written Resolutions of Members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Directors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of Directors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Alternate Directors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Directors’ Interests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General Powers of the Directors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Proceedings of the Directors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Managers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Register of Directors and Officers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Minutes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Other Payments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Capitalisation</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Rights Reserve</w:t>
            </w:r>
          </w:p>
        </w:tc>
        <w:tc>
          <w:tcPr>
            <w:tcW w:w="7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r>
      <w:tr>
        <w:trPr>
          <w:trHeight w:val="648"/>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No.</w:t>
            </w:r>
          </w:p>
        </w:tc>
      </w:tr>
      <w:tr>
        <w:trPr>
          <w:trHeight w:val="41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Accounting Records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Audit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Winding Up</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Indemnity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Financial Year</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Memorandum and Articles of Association and Name of Company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Corporate Action Proceeds and Electronic Instructions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648"/>
        </w:trPr>
        <w:tc>
          <w:tcPr>
            <w:tcW w:w="81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left="402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 HI INTERNATIONAL HOLDING LTD.</w:t>
      </w:r>
    </w:p>
    <w:p>
      <w:pPr>
        <w:spacing w:after="0" w:line="34" w:lineRule="exact"/>
        <w:rPr>
          <w:sz w:val="20"/>
          <w:szCs w:val="20"/>
          <w:color w:val="auto"/>
        </w:rPr>
      </w:pPr>
    </w:p>
    <w:p>
      <w:pPr>
        <w:jc w:val="center"/>
        <w:ind w:right="40"/>
        <w:spacing w:after="0" w:line="216" w:lineRule="exact"/>
        <w:rPr>
          <w:sz w:val="20"/>
          <w:szCs w:val="20"/>
          <w:color w:val="auto"/>
        </w:rPr>
      </w:pPr>
      <w:r>
        <w:rPr>
          <w:rFonts w:ascii="PMingLiU" w:cs="PMingLiU" w:eastAsia="PMingLiU" w:hAnsi="PMingLiU"/>
          <w:sz w:val="18"/>
          <w:szCs w:val="18"/>
          <w:color w:val="auto"/>
        </w:rPr>
        <w:t>特海國際控股有限公司</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(Adopted by a special resolution passed at a general meeting held on </w:t>
      </w:r>
      <w:r>
        <w:rPr>
          <w:rFonts w:ascii="Times New Roman" w:cs="Times New Roman" w:eastAsia="Times New Roman" w:hAnsi="Times New Roman"/>
          <w:sz w:val="18"/>
          <w:szCs w:val="18"/>
          <w:u w:val="single" w:color="auto"/>
          <w:color w:val="auto"/>
        </w:rPr>
        <w:t>June 12, 2026</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in Table A in the Schedule to the Companies Act (as defined in Article 2) do not apply to the Company.</w:t>
      </w:r>
    </w:p>
    <w:p>
      <w:pPr>
        <w:spacing w:after="0" w:line="221"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color w:val="auto"/>
        </w:rPr>
      </w:pPr>
    </w:p>
    <w:p>
      <w:pPr>
        <w:ind w:left="1000" w:hanging="9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these Articles, unless the context otherwise requires, the words standing in the first column of the following table shall bear the meaning set opposite them respectively in the second column.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WORD</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414"/>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“Act”</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Companies Act, Cap. 22 of the Cayman Islands and any amendments thereto or re-enactments thereof for</w:t>
            </w:r>
          </w:p>
        </w:tc>
      </w:tr>
      <w:tr>
        <w:trPr>
          <w:trHeight w:val="234"/>
        </w:trPr>
        <w:tc>
          <w:tcPr>
            <w:tcW w:w="2700" w:type="dxa"/>
            <w:vAlign w:val="bottom"/>
          </w:tcPr>
          <w:p>
            <w:pPr>
              <w:spacing w:after="0"/>
              <w:rPr>
                <w:sz w:val="20"/>
                <w:szCs w:val="20"/>
                <w:color w:val="auto"/>
              </w:rPr>
            </w:pP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time being in force and includes every other law incorporated therewith or substituted therefor.</w:t>
            </w:r>
          </w:p>
        </w:tc>
      </w:tr>
      <w:tr>
        <w:trPr>
          <w:trHeight w:val="414"/>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“address”</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the purposes of these Articles, “address” includes an electronic address unless the Act or the Listing Rules</w:t>
            </w:r>
          </w:p>
        </w:tc>
      </w:tr>
      <w:tr>
        <w:trPr>
          <w:trHeight w:val="234"/>
        </w:trPr>
        <w:tc>
          <w:tcPr>
            <w:tcW w:w="2700" w:type="dxa"/>
            <w:vAlign w:val="bottom"/>
          </w:tcPr>
          <w:p>
            <w:pPr>
              <w:spacing w:after="0"/>
              <w:rPr>
                <w:sz w:val="20"/>
                <w:szCs w:val="20"/>
                <w:color w:val="auto"/>
              </w:rPr>
            </w:pP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require a postal address.</w:t>
            </w:r>
          </w:p>
        </w:tc>
      </w:tr>
      <w:tr>
        <w:trPr>
          <w:trHeight w:val="432"/>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“Articles”</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these Articles in their present form or as supplemented or amended or substituted from time to time.</w:t>
            </w:r>
          </w:p>
        </w:tc>
      </w:tr>
      <w:tr>
        <w:trPr>
          <w:trHeight w:val="432"/>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“Auditor”</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auditor of the Company for the time being and may include any individual or partnership.</w:t>
            </w:r>
          </w:p>
        </w:tc>
      </w:tr>
      <w:tr>
        <w:trPr>
          <w:trHeight w:val="414"/>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“Board” or “Directors”</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board of directors of the Company or the directors present at a meeting of directors of the Company at</w:t>
            </w:r>
          </w:p>
        </w:tc>
      </w:tr>
      <w:tr>
        <w:trPr>
          <w:trHeight w:val="234"/>
        </w:trPr>
        <w:tc>
          <w:tcPr>
            <w:tcW w:w="2700" w:type="dxa"/>
            <w:vAlign w:val="bottom"/>
          </w:tcPr>
          <w:p>
            <w:pPr>
              <w:spacing w:after="0"/>
              <w:rPr>
                <w:sz w:val="20"/>
                <w:szCs w:val="20"/>
                <w:color w:val="auto"/>
              </w:rPr>
            </w:pP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which a quorum is present.</w:t>
            </w:r>
          </w:p>
        </w:tc>
      </w:tr>
      <w:tr>
        <w:trPr>
          <w:trHeight w:val="432"/>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“capital”</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share capital of the Company from time to time.</w:t>
            </w:r>
          </w:p>
        </w:tc>
      </w:tr>
      <w:tr>
        <w:trPr>
          <w:trHeight w:val="414"/>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“clear days”</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 relation to the period of a notice that period excluding the day when the notice is given or deemed to be</w:t>
            </w:r>
          </w:p>
        </w:tc>
      </w:tr>
      <w:tr>
        <w:trPr>
          <w:trHeight w:val="234"/>
        </w:trPr>
        <w:tc>
          <w:tcPr>
            <w:tcW w:w="2700" w:type="dxa"/>
            <w:vAlign w:val="bottom"/>
          </w:tcPr>
          <w:p>
            <w:pPr>
              <w:spacing w:after="0"/>
              <w:rPr>
                <w:sz w:val="20"/>
                <w:szCs w:val="20"/>
                <w:color w:val="auto"/>
              </w:rPr>
            </w:pP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given and the day for which it is given or on which it is to take effect.</w:t>
            </w:r>
          </w:p>
        </w:tc>
      </w:tr>
      <w:tr>
        <w:trPr>
          <w:trHeight w:val="414"/>
        </w:trPr>
        <w:tc>
          <w:tcPr>
            <w:tcW w:w="2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“clearing house”</w:t>
            </w: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clearing house recognised by the laws of the jurisdiction in which the shares of the Company are listed or</w:t>
            </w:r>
          </w:p>
        </w:tc>
      </w:tr>
      <w:tr>
        <w:trPr>
          <w:trHeight w:val="234"/>
        </w:trPr>
        <w:tc>
          <w:tcPr>
            <w:tcW w:w="2700" w:type="dxa"/>
            <w:vAlign w:val="bottom"/>
          </w:tcPr>
          <w:p>
            <w:pPr>
              <w:spacing w:after="0"/>
              <w:rPr>
                <w:sz w:val="20"/>
                <w:szCs w:val="20"/>
                <w:color w:val="auto"/>
              </w:rPr>
            </w:pPr>
          </w:p>
        </w:tc>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quoted on a stock exchange in such jurisdiction.</w:t>
            </w:r>
          </w:p>
        </w:tc>
      </w:tr>
      <w:tr>
        <w:trPr>
          <w:trHeight w:val="648"/>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0" w:right="339"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8"/>
          <w:szCs w:val="18"/>
          <w:color w:val="auto"/>
        </w:rPr>
        <w:t>“close associate”</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in relation to any Director, shall have the same meaning as defined in the Listing Rules as modified from time to time, except that for purposes of Article 100 where the transaction or arrangement to be approved by the Board is a connected transaction referred to in the Listing Rules, it shall have the same meaning as that ascribed to “associate” in the Listing Rules.</w:t>
      </w:r>
    </w:p>
    <w:p>
      <w:pPr>
        <w:spacing w:after="0" w:line="193" w:lineRule="exact"/>
        <w:rPr>
          <w:sz w:val="20"/>
          <w:szCs w:val="20"/>
          <w:color w:val="auto"/>
        </w:rPr>
      </w:pPr>
    </w:p>
    <w:p>
      <w:pPr>
        <w:sectPr>
          <w:pgSz w:w="11900" w:h="16838" w:orient="portrait"/>
          <w:cols w:equalWidth="0" w:num="2">
            <w:col w:w="2480" w:space="720"/>
            <w:col w:w="8040"/>
          </w:cols>
          <w:pgMar w:left="320" w:top="904" w:right="339" w:bottom="1440" w:gutter="0" w:footer="0" w:header="0"/>
        </w:sectPr>
      </w:pP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7"/>
          <w:szCs w:val="17"/>
          <w:color w:val="auto"/>
        </w:rPr>
        <w:t>SUPER HI INTERNATIONAL HOLDING LTD.</w:t>
      </w:r>
      <w:r>
        <w:rPr>
          <w:rFonts w:ascii="PMingLiU" w:cs="PMingLiU" w:eastAsia="PMingLiU" w:hAnsi="PMingLiU"/>
          <w:sz w:val="17"/>
          <w:szCs w:val="17"/>
          <w:color w:val="auto"/>
        </w:rPr>
        <w:t>特海國際控股有限公司</w:t>
      </w:r>
    </w:p>
    <w:p>
      <w:pPr>
        <w:spacing w:after="0" w:line="213" w:lineRule="exact"/>
        <w:rPr>
          <w:sz w:val="20"/>
          <w:szCs w:val="20"/>
          <w:color w:val="auto"/>
        </w:rPr>
      </w:pPr>
    </w:p>
    <w:p>
      <w:pPr>
        <w:sectPr>
          <w:pgSz w:w="11900" w:h="16838" w:orient="portrait"/>
          <w:cols w:equalWidth="0" w:num="2">
            <w:col w:w="2480" w:space="720"/>
            <w:col w:w="8040"/>
          </w:cols>
          <w:pgMar w:left="320" w:top="904" w:right="339" w:bottom="1440" w:gutter="0" w:footer="0" w:header="0"/>
          <w:type w:val="continuous"/>
        </w:sectPr>
      </w:pP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“competent regulatory authority”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competent regulatory authority in the territory where the shares of the Company are listed or quoted on a stock exchange in such territory.</w:t>
      </w:r>
    </w:p>
    <w:p>
      <w:pPr>
        <w:spacing w:after="0" w:line="162" w:lineRule="exact"/>
        <w:rPr>
          <w:sz w:val="20"/>
          <w:szCs w:val="20"/>
          <w:color w:val="auto"/>
        </w:rPr>
      </w:pPr>
    </w:p>
    <w:p>
      <w:pPr>
        <w:sectPr>
          <w:pgSz w:w="11900" w:h="16838" w:orient="portrait"/>
          <w:cols w:equalWidth="0" w:num="2">
            <w:col w:w="2900" w:space="300"/>
            <w:col w:w="8040"/>
          </w:cols>
          <w:pgMar w:left="320" w:top="904"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“debenture” and “debenture holder” include debenture stock and debenture stockholder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“Designated Stock Exchange”</w:t>
            </w: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stock exchange in respect of which the shares of the Company are listed or quoted and where such stock</w:t>
            </w:r>
          </w:p>
        </w:tc>
      </w:tr>
      <w:tr>
        <w:trPr>
          <w:trHeight w:val="234"/>
        </w:trPr>
        <w:tc>
          <w:tcPr>
            <w:tcW w:w="2940" w:type="dxa"/>
            <w:vAlign w:val="bottom"/>
          </w:tcPr>
          <w:p>
            <w:pPr>
              <w:spacing w:after="0"/>
              <w:rPr>
                <w:sz w:val="20"/>
                <w:szCs w:val="20"/>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exchange deems such listing or quotation to be the primary listing or quotation of the shares of the Company.</w:t>
            </w:r>
          </w:p>
        </w:tc>
      </w:tr>
      <w:tr>
        <w:trPr>
          <w:trHeight w:val="414"/>
        </w:trPr>
        <w:tc>
          <w:tcPr>
            <w:tcW w:w="2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“head office”</w:t>
            </w: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such office of the Company as the Directors may from time to time determine to be the principal office of the</w:t>
            </w:r>
          </w:p>
        </w:tc>
      </w:tr>
      <w:tr>
        <w:trPr>
          <w:trHeight w:val="234"/>
        </w:trPr>
        <w:tc>
          <w:tcPr>
            <w:tcW w:w="2940" w:type="dxa"/>
            <w:vAlign w:val="bottom"/>
          </w:tcPr>
          <w:p>
            <w:pPr>
              <w:spacing w:after="0"/>
              <w:rPr>
                <w:sz w:val="20"/>
                <w:szCs w:val="20"/>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w:t>
            </w:r>
          </w:p>
        </w:tc>
      </w:tr>
      <w:tr>
        <w:trPr>
          <w:trHeight w:val="432"/>
        </w:trPr>
        <w:tc>
          <w:tcPr>
            <w:tcW w:w="2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“Listing Rules”</w:t>
            </w: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rules and regulations of the Designated Stock Exchange, as amended from time to time.</w:t>
            </w:r>
          </w:p>
        </w:tc>
      </w:tr>
      <w:tr>
        <w:trPr>
          <w:trHeight w:val="432"/>
        </w:trPr>
        <w:tc>
          <w:tcPr>
            <w:tcW w:w="2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“Member”</w:t>
            </w: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duly registered holder from time to time of the shares in the capital of the Company.</w:t>
            </w:r>
          </w:p>
        </w:tc>
      </w:tr>
      <w:tr>
        <w:trPr>
          <w:trHeight w:val="432"/>
        </w:trPr>
        <w:tc>
          <w:tcPr>
            <w:tcW w:w="2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“month”</w:t>
            </w: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calendar month.</w:t>
            </w:r>
          </w:p>
        </w:tc>
      </w:tr>
      <w:tr>
        <w:trPr>
          <w:trHeight w:val="414"/>
        </w:trPr>
        <w:tc>
          <w:tcPr>
            <w:tcW w:w="2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“Notice” or “notice”</w:t>
            </w: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written notice unless otherwise specifically stated and as further defined in these Articles and, where the</w:t>
            </w:r>
          </w:p>
        </w:tc>
      </w:tr>
      <w:tr>
        <w:trPr>
          <w:trHeight w:val="216"/>
        </w:trPr>
        <w:tc>
          <w:tcPr>
            <w:tcW w:w="294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context so requires, shall include any other document (including any “corporate communication” and</w:t>
            </w:r>
          </w:p>
        </w:tc>
      </w:tr>
      <w:tr>
        <w:trPr>
          <w:trHeight w:val="216"/>
        </w:trPr>
        <w:tc>
          <w:tcPr>
            <w:tcW w:w="294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“actionable corporate communication” within the meaning ascribed thereto under the Listing Rules) or</w:t>
            </w:r>
          </w:p>
        </w:tc>
      </w:tr>
      <w:tr>
        <w:trPr>
          <w:trHeight w:val="216"/>
        </w:trPr>
        <w:tc>
          <w:tcPr>
            <w:tcW w:w="294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communication to be served, issued, or given by the Company under these Articles or pursuant to applicable</w:t>
            </w:r>
          </w:p>
        </w:tc>
      </w:tr>
      <w:tr>
        <w:trPr>
          <w:trHeight w:val="216"/>
        </w:trPr>
        <w:tc>
          <w:tcPr>
            <w:tcW w:w="294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laws and regulations, including the Listing Rules and/or the rules of the competent regulatory authority. For the</w:t>
            </w:r>
          </w:p>
        </w:tc>
      </w:tr>
      <w:tr>
        <w:trPr>
          <w:trHeight w:val="234"/>
        </w:trPr>
        <w:tc>
          <w:tcPr>
            <w:tcW w:w="2940" w:type="dxa"/>
            <w:vAlign w:val="bottom"/>
          </w:tcPr>
          <w:p>
            <w:pPr>
              <w:spacing w:after="0"/>
              <w:rPr>
                <w:sz w:val="20"/>
                <w:szCs w:val="20"/>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avoidance of doubt, Notice may be provided in physical or electronic form.</w:t>
            </w:r>
          </w:p>
        </w:tc>
      </w:tr>
      <w:tr>
        <w:trPr>
          <w:trHeight w:val="432"/>
        </w:trPr>
        <w:tc>
          <w:tcPr>
            <w:tcW w:w="2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“Office”</w:t>
            </w: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registered office of the Company for the time being.</w:t>
            </w:r>
          </w:p>
        </w:tc>
      </w:tr>
      <w:tr>
        <w:trPr>
          <w:trHeight w:val="414"/>
        </w:trPr>
        <w:tc>
          <w:tcPr>
            <w:tcW w:w="2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“ordinary resolution”</w:t>
            </w: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resolution shall be an ordinary resolution when it has been passed by a simple majority of votes cast by such</w:t>
            </w:r>
          </w:p>
        </w:tc>
      </w:tr>
      <w:tr>
        <w:trPr>
          <w:trHeight w:val="216"/>
        </w:trPr>
        <w:tc>
          <w:tcPr>
            <w:tcW w:w="294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Members as, being entitled so to do, vote in person or, in the case of any Member being a corporation, by its</w:t>
            </w:r>
          </w:p>
        </w:tc>
      </w:tr>
      <w:tr>
        <w:trPr>
          <w:trHeight w:val="216"/>
        </w:trPr>
        <w:tc>
          <w:tcPr>
            <w:tcW w:w="294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duly authorised representative or, where proxies are allowed, by proxy at a general meeting of which Notice</w:t>
            </w:r>
          </w:p>
        </w:tc>
      </w:tr>
      <w:tr>
        <w:trPr>
          <w:trHeight w:val="234"/>
        </w:trPr>
        <w:tc>
          <w:tcPr>
            <w:tcW w:w="2940" w:type="dxa"/>
            <w:vAlign w:val="bottom"/>
          </w:tcPr>
          <w:p>
            <w:pPr>
              <w:spacing w:after="0"/>
              <w:rPr>
                <w:sz w:val="20"/>
                <w:szCs w:val="20"/>
                <w:color w:val="auto"/>
              </w:rPr>
            </w:pPr>
          </w:p>
        </w:tc>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been duly given in accordance with Article 59.</w:t>
            </w:r>
          </w:p>
        </w:tc>
      </w:tr>
      <w:tr>
        <w:trPr>
          <w:trHeight w:val="648"/>
        </w:trPr>
        <w:tc>
          <w:tcPr>
            <w:tcW w:w="294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“paid up”</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paid up or credited as paid up.</w:t>
            </w:r>
          </w:p>
        </w:tc>
      </w:tr>
      <w:tr>
        <w:trPr>
          <w:trHeight w:val="41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“Register”</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principal register and where applicable, any branch register of Members to be maintained at such place</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within or outside the Cayman Islands as the Board shall determine from time to time.</w:t>
            </w:r>
          </w:p>
        </w:tc>
      </w:tr>
      <w:tr>
        <w:trPr>
          <w:trHeight w:val="41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“Registration Office”</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respect of any class of share capital such place as the Board may from time to time determine to keep a</w:t>
            </w:r>
          </w:p>
        </w:tc>
      </w:tr>
      <w:tr>
        <w:trPr>
          <w:trHeight w:val="216"/>
        </w:trPr>
        <w:tc>
          <w:tcPr>
            <w:tcW w:w="276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branch register of Members in respect of that class of share capital and where (except in cases where the Board</w:t>
            </w:r>
          </w:p>
        </w:tc>
      </w:tr>
      <w:tr>
        <w:trPr>
          <w:trHeight w:val="216"/>
        </w:trPr>
        <w:tc>
          <w:tcPr>
            <w:tcW w:w="276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otherwise directs) the transfers or other documents of title for such class of share capital are to be lodged for</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and are to be registered.</w:t>
            </w:r>
          </w:p>
        </w:tc>
      </w:tr>
      <w:tr>
        <w:trPr>
          <w:trHeight w:val="41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“Seal”</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seal or any one or more duplicate seals of the Company (including a securities seal) for use in the</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Cayman Islands or in any place outside the Cayman Islands.</w:t>
            </w:r>
          </w:p>
        </w:tc>
      </w:tr>
      <w:tr>
        <w:trPr>
          <w:trHeight w:val="41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“Secretary”</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any person, firm or corporation appointed by the Board to perform any of the duties of secretary of the</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Company and includes any assistant, deputy, temporary or acting secretary.</w:t>
            </w:r>
          </w:p>
        </w:tc>
      </w:tr>
      <w:tr>
        <w:trPr>
          <w:trHeight w:val="41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“special resolution”</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resolution shall be a special resolution when it has been passed by a majority of not less than three-fourths of</w:t>
            </w:r>
          </w:p>
        </w:tc>
      </w:tr>
      <w:tr>
        <w:trPr>
          <w:trHeight w:val="216"/>
        </w:trPr>
        <w:tc>
          <w:tcPr>
            <w:tcW w:w="276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votes cast by such Members as, being entitled so to do, vote in person or, in the case of such Members as are</w:t>
            </w:r>
          </w:p>
        </w:tc>
      </w:tr>
      <w:tr>
        <w:trPr>
          <w:trHeight w:val="216"/>
        </w:trPr>
        <w:tc>
          <w:tcPr>
            <w:tcW w:w="276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corporations, by their respective duly authorised representative or, where proxies are allowed, by proxy at a</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meeting of which Notice has been duly given in accordance with Article 59.</w:t>
            </w:r>
          </w:p>
        </w:tc>
      </w:tr>
      <w:tr>
        <w:trPr>
          <w:trHeight w:val="414"/>
        </w:trPr>
        <w:tc>
          <w:tcPr>
            <w:tcW w:w="2760" w:type="dxa"/>
            <w:vAlign w:val="bottom"/>
          </w:tcPr>
          <w:p>
            <w:pPr>
              <w:spacing w:after="0"/>
              <w:rPr>
                <w:sz w:val="24"/>
                <w:szCs w:val="24"/>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special resolution shall be effective for any purpose for which an ordinary resolution is expressed to be</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required under any provision of these Articles or the Statutes.</w:t>
            </w:r>
          </w:p>
        </w:tc>
      </w:tr>
      <w:tr>
        <w:trPr>
          <w:trHeight w:val="41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“Statutes”</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Act and every other law of the Legislature of the Cayman Islands for the time being in force applying to or</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affecting the Company, its memorandum of association and/or these Articles.</w:t>
            </w:r>
          </w:p>
        </w:tc>
      </w:tr>
      <w:tr>
        <w:trPr>
          <w:trHeight w:val="41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“substantial shareholder”</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person who is entitled to exercise, or to control the exercise of, 10% or more (or such other percentage as</w:t>
            </w:r>
          </w:p>
        </w:tc>
      </w:tr>
      <w:tr>
        <w:trPr>
          <w:trHeight w:val="216"/>
        </w:trPr>
        <w:tc>
          <w:tcPr>
            <w:tcW w:w="276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be prescribed by the Listing Rules from time to time) of the voting power at any general meeting of the</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“treasury shares”</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repurchased and held by the Company in treasury as authorized by the Act which, for the purpose of</w:t>
            </w:r>
          </w:p>
        </w:tc>
      </w:tr>
      <w:tr>
        <w:trPr>
          <w:trHeight w:val="216"/>
        </w:trPr>
        <w:tc>
          <w:tcPr>
            <w:tcW w:w="276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these Articles, include shares repurchased by the Company and held or deposited in Central Clearing and</w:t>
            </w:r>
          </w:p>
        </w:tc>
      </w:tr>
      <w:tr>
        <w:trPr>
          <w:trHeight w:val="216"/>
        </w:trPr>
        <w:tc>
          <w:tcPr>
            <w:tcW w:w="276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Settlement System operated by the Hong Kong Securities Clearing Company Limited for sale on The Stock</w:t>
            </w:r>
          </w:p>
        </w:tc>
      </w:tr>
      <w:tr>
        <w:trPr>
          <w:trHeight w:val="234"/>
        </w:trPr>
        <w:tc>
          <w:tcPr>
            <w:tcW w:w="276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Exchange of Hong Kong Limited.</w:t>
            </w:r>
          </w:p>
        </w:tc>
      </w:tr>
      <w:tr>
        <w:trPr>
          <w:trHeight w:val="432"/>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“year”</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calendar year.</w:t>
            </w:r>
          </w:p>
        </w:tc>
      </w:tr>
      <w:tr>
        <w:trPr>
          <w:trHeight w:val="648"/>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4" w:right="339" w:bottom="1440" w:gutter="0" w:footer="0" w:header="0"/>
        </w:sectPr>
      </w:pPr>
    </w:p>
    <w:bookmarkStart w:id="9" w:name="page10"/>
    <w:bookmarkEnd w:id="9"/>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there be something within the subject or context inconsistent with such construction:</w:t>
      </w:r>
    </w:p>
    <w:p>
      <w:pPr>
        <w:spacing w:after="0" w:line="225" w:lineRule="exact"/>
        <w:rPr>
          <w:rFonts w:ascii="Times New Roman" w:cs="Times New Roman" w:eastAsia="Times New Roman" w:hAnsi="Times New Roman"/>
          <w:sz w:val="18"/>
          <w:szCs w:val="18"/>
          <w:color w:val="auto"/>
        </w:rPr>
      </w:pPr>
    </w:p>
    <w:p>
      <w:pPr>
        <w:ind w:left="1020" w:hanging="51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w:t>
      </w:r>
    </w:p>
    <w:p>
      <w:pPr>
        <w:spacing w:after="0" w:line="225" w:lineRule="exact"/>
        <w:rPr>
          <w:rFonts w:ascii="Times New Roman" w:cs="Times New Roman" w:eastAsia="Times New Roman" w:hAnsi="Times New Roman"/>
          <w:sz w:val="18"/>
          <w:szCs w:val="18"/>
          <w:color w:val="auto"/>
        </w:rPr>
      </w:pPr>
    </w:p>
    <w:p>
      <w:pPr>
        <w:ind w:left="1020" w:hanging="51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 gender include both gender and the neuter;</w:t>
      </w:r>
    </w:p>
    <w:p>
      <w:pPr>
        <w:spacing w:after="0" w:line="225" w:lineRule="exact"/>
        <w:rPr>
          <w:rFonts w:ascii="Times New Roman" w:cs="Times New Roman" w:eastAsia="Times New Roman" w:hAnsi="Times New Roman"/>
          <w:sz w:val="18"/>
          <w:szCs w:val="18"/>
          <w:color w:val="auto"/>
        </w:rPr>
      </w:pPr>
    </w:p>
    <w:p>
      <w:pPr>
        <w:ind w:left="1020" w:hanging="51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include companies, associations and bodies of persons whether corporate or not;</w:t>
      </w:r>
    </w:p>
    <w:p>
      <w:pPr>
        <w:spacing w:after="0" w:line="225" w:lineRule="exact"/>
        <w:rPr>
          <w:rFonts w:ascii="Times New Roman" w:cs="Times New Roman" w:eastAsia="Times New Roman" w:hAnsi="Times New Roman"/>
          <w:sz w:val="18"/>
          <w:szCs w:val="18"/>
          <w:color w:val="auto"/>
        </w:rPr>
      </w:pPr>
    </w:p>
    <w:p>
      <w:pPr>
        <w:ind w:left="1020" w:hanging="51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w:t>
      </w:r>
    </w:p>
    <w:p>
      <w:pPr>
        <w:spacing w:after="0" w:line="22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shall be construed as permissive;</w:t>
      </w:r>
    </w:p>
    <w:p>
      <w:pPr>
        <w:spacing w:after="0" w:line="22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or “will” shall be construed as imperative;</w:t>
      </w:r>
    </w:p>
    <w:p>
      <w:pPr>
        <w:spacing w:after="0" w:line="225" w:lineRule="exact"/>
        <w:rPr>
          <w:rFonts w:ascii="Times New Roman" w:cs="Times New Roman" w:eastAsia="Times New Roman" w:hAnsi="Times New Roman"/>
          <w:sz w:val="18"/>
          <w:szCs w:val="18"/>
          <w:color w:val="auto"/>
        </w:rPr>
      </w:pPr>
    </w:p>
    <w:p>
      <w:pPr>
        <w:jc w:val="both"/>
        <w:ind w:left="1020" w:hanging="513"/>
        <w:spacing w:after="0" w:line="261" w:lineRule="auto"/>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expressions referring to writing shall, unless the contrary intention appears, be construed as including printing, lithography, photography and other modes of representing words or figures in a visible form, and including electronic writing or display (such as digital documents or electronic communications), provided that both the mode of service of the relevant document or notice and the Member’s election comply with all applicable Statutes, rules and regulations;</w:t>
      </w:r>
    </w:p>
    <w:p>
      <w:pPr>
        <w:spacing w:after="0" w:line="179" w:lineRule="exact"/>
        <w:rPr>
          <w:rFonts w:ascii="Times New Roman" w:cs="Times New Roman" w:eastAsia="Times New Roman" w:hAnsi="Times New Roman"/>
          <w:sz w:val="18"/>
          <w:szCs w:val="18"/>
          <w:color w:val="auto"/>
        </w:rPr>
      </w:pPr>
    </w:p>
    <w:p>
      <w:pPr>
        <w:ind w:left="1020" w:hanging="513"/>
        <w:spacing w:after="0" w:line="282" w:lineRule="auto"/>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ordinance, statute or statutory provision shall be interpreted as relating to any statutory modification or re-enactment thereof for the time being in force;</w:t>
      </w:r>
    </w:p>
    <w:p>
      <w:pPr>
        <w:spacing w:after="0" w:line="161" w:lineRule="exact"/>
        <w:rPr>
          <w:rFonts w:ascii="Times New Roman" w:cs="Times New Roman" w:eastAsia="Times New Roman" w:hAnsi="Times New Roman"/>
          <w:sz w:val="18"/>
          <w:szCs w:val="18"/>
          <w:color w:val="auto"/>
        </w:rPr>
      </w:pPr>
    </w:p>
    <w:p>
      <w:pPr>
        <w:ind w:left="1020" w:hanging="513"/>
        <w:spacing w:after="0" w:line="282" w:lineRule="auto"/>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aforesaid words and expressions defined in the Statutes shall bear the same meanings in these Articles if not inconsistent with the subject in the context;</w:t>
      </w:r>
    </w:p>
    <w:p>
      <w:pPr>
        <w:spacing w:after="0" w:line="161" w:lineRule="exact"/>
        <w:rPr>
          <w:rFonts w:ascii="Times New Roman" w:cs="Times New Roman" w:eastAsia="Times New Roman" w:hAnsi="Times New Roman"/>
          <w:sz w:val="18"/>
          <w:szCs w:val="18"/>
          <w:color w:val="auto"/>
        </w:rPr>
      </w:pPr>
    </w:p>
    <w:p>
      <w:pPr>
        <w:jc w:val="both"/>
        <w:ind w:left="1020" w:hanging="513"/>
        <w:spacing w:after="0" w:line="261" w:lineRule="auto"/>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document (including, but without limitation, a resolution in writing) being signed or executed include references to it being signed or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179" w:lineRule="exact"/>
        <w:rPr>
          <w:rFonts w:ascii="Times New Roman" w:cs="Times New Roman" w:eastAsia="Times New Roman" w:hAnsi="Times New Roman"/>
          <w:sz w:val="18"/>
          <w:szCs w:val="18"/>
          <w:color w:val="auto"/>
        </w:rPr>
      </w:pPr>
    </w:p>
    <w:p>
      <w:pPr>
        <w:jc w:val="both"/>
        <w:ind w:left="1020" w:hanging="513"/>
        <w:spacing w:after="0" w:line="258" w:lineRule="auto"/>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right of a Member to speak at a general meeting shall include the right to raise questions or make statements to the chairman of the meeting, verbally or in written form, by means of electronic facilities. Such a right shall be deemed to have been duly exercised if the questions or statements may be heard or seen by all or only some of the persons present at the meeting (or only by the chairman of the meeting) in which event the chairman of the meeting shall relay the questions raised or the statements made verbatim to all persons present at the meeting, either orally or in writing using electronic facilities;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520" w:hanging="513"/>
        <w:spacing w:after="0" w:line="26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meeting: (a) shall, where the context is appropriate, include a meeting that has been postponed by the Board pursuant to Article 64, and (b) shall mean a meeting convened and held in any manner permitted by these Articles and any Member or Director attending and participating at a meeting by means of electronic facilities shall be deemed to be present at that meeting for all purposes of the Statutes and these Articles, and attend, participate, attending, participating, attendance and participation shall be construed accordingly;</w:t>
      </w:r>
    </w:p>
    <w:p>
      <w:pPr>
        <w:spacing w:after="0" w:line="179" w:lineRule="exact"/>
        <w:rPr>
          <w:rFonts w:ascii="Times New Roman" w:cs="Times New Roman" w:eastAsia="Times New Roman" w:hAnsi="Times New Roman"/>
          <w:sz w:val="18"/>
          <w:szCs w:val="18"/>
          <w:color w:val="auto"/>
        </w:rPr>
      </w:pPr>
    </w:p>
    <w:p>
      <w:pPr>
        <w:ind w:left="520" w:hanging="513"/>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Member is a corporation, any reference in these Articles to a Member shall, where the context requires, refer to a duly authorised representative of such Member; and</w:t>
      </w:r>
    </w:p>
    <w:p>
      <w:pPr>
        <w:spacing w:after="0" w:line="161" w:lineRule="exact"/>
        <w:rPr>
          <w:rFonts w:ascii="Times New Roman" w:cs="Times New Roman" w:eastAsia="Times New Roman" w:hAnsi="Times New Roman"/>
          <w:sz w:val="18"/>
          <w:szCs w:val="18"/>
          <w:color w:val="auto"/>
        </w:rPr>
      </w:pPr>
    </w:p>
    <w:p>
      <w:pPr>
        <w:ind w:left="520" w:hanging="513"/>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“print”, “printed”, or “printed copy” and “printing” shall be deemed to include electronic versions or electronic copies;</w:t>
      </w:r>
    </w:p>
    <w:p>
      <w:pPr>
        <w:spacing w:after="0" w:line="161" w:lineRule="exact"/>
        <w:rPr>
          <w:rFonts w:ascii="Times New Roman" w:cs="Times New Roman" w:eastAsia="Times New Roman" w:hAnsi="Times New Roman"/>
          <w:sz w:val="18"/>
          <w:szCs w:val="18"/>
          <w:color w:val="auto"/>
        </w:rPr>
      </w:pPr>
    </w:p>
    <w:p>
      <w:pPr>
        <w:jc w:val="both"/>
        <w:ind w:left="520" w:hanging="513"/>
        <w:spacing w:after="0" w:line="255"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the term “place” within these Articles shall be construed as applicable only in contexts where a physical location is required or relevant. Any reference to a “place” for the delivery, receipt, or payment of monies, whether by the Company or by Members, shall not preclude the use of electronic means for such delivery, receipt, or payment. For the avoidance of doubt, references to a “place” in the context of meetings shall include physical, electronic, or hybrid meeting formats, as permitted by applicable laws and regulations. Notices of meetings, adjournments, postponements, or any other references to a “place” shall be interpreted to include virtual platforms or electronic means of communication where applicable. Where the term “place” is out of context, unnecessary, or not applicable, such reference shall be disregarded without affecting the validity or interpretation of the relevant provision;</w:t>
      </w:r>
    </w:p>
    <w:p>
      <w:pPr>
        <w:spacing w:after="0" w:line="188"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voting rights referred to in these Articles shall exclude the voting rights attached to treasury shares; and</w:t>
      </w:r>
    </w:p>
    <w:p>
      <w:pPr>
        <w:spacing w:after="0" w:line="225" w:lineRule="exact"/>
        <w:rPr>
          <w:rFonts w:ascii="Times New Roman" w:cs="Times New Roman" w:eastAsia="Times New Roman" w:hAnsi="Times New Roman"/>
          <w:sz w:val="18"/>
          <w:szCs w:val="18"/>
          <w:color w:val="auto"/>
        </w:rPr>
      </w:pPr>
    </w:p>
    <w:p>
      <w:pPr>
        <w:ind w:left="520" w:hanging="513"/>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and Section 19 of the Electronic Transactions Act of the Cayman Islands, as amended from time to time, shall not apply to these Articles to the extent it imposes obligations or requirements in addition to those set out in these Articles.</w:t>
      </w:r>
    </w:p>
    <w:p>
      <w:pPr>
        <w:spacing w:after="0" w:line="37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1000" w:hanging="9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share capital of the Company at the date on which these Articles come into effect shall be divided into shares of a par value of United States dollars 0.000005 each.</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54" w:lineRule="auto"/>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Company’s Memorandum and Articles of Association and, where applicable, the Listing Rules, and/or the rules and regulations of any competent regulatory authority, the Company shall have the power to purchase or otherwise acquire its own shares and such power shall be exercisable by the Board in such manner, upon such terms and subject to such conditions as it in its absolute discretion thinks fit and any determination by the Board of the manner of purchase shall be deemed authorised by these Articles for purposes of the Act. The Company is hereby authorised to make payments in respect of the purchase of its shares out of capital or out of any other account or fund which can be authorised for this purpose in accordance with the Act. Subject to the Act, the Listing Rules and/or the rules of any competent regulatory authority, the Company is further authorised to hold any repurchased, redeemed or surrendered shares as treasury shares without the need for a separate resolution of the Board for each instance.</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jc w:val="both"/>
        <w:ind w:left="1000" w:right="20" w:hanging="493"/>
        <w:spacing w:after="0" w:line="312" w:lineRule="auto"/>
        <w:tabs>
          <w:tab w:leader="none" w:pos="10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compliance with the Listing Rules and the rules and regulations of any other competent regulatory authority, the Company may give financial assistance for the purpose of or in connection with a purchase made or to be made by any person of any shares in the Company.</w:t>
      </w:r>
    </w:p>
    <w:p>
      <w:pPr>
        <w:spacing w:after="0" w:line="139" w:lineRule="exact"/>
        <w:rPr>
          <w:rFonts w:ascii="Times New Roman" w:cs="Times New Roman" w:eastAsia="Times New Roman" w:hAnsi="Times New Roman"/>
          <w:sz w:val="17"/>
          <w:szCs w:val="17"/>
          <w:color w:val="auto"/>
        </w:rPr>
      </w:pPr>
    </w:p>
    <w:p>
      <w:pPr>
        <w:ind w:left="1000" w:hanging="493"/>
        <w:spacing w:after="0"/>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the surrender for no consideration of any fully paid share.</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 shall be issued to bearer.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CAPITAL</w:t>
      </w:r>
    </w:p>
    <w:p>
      <w:pPr>
        <w:spacing w:after="0" w:line="229"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 accordance with the Act alter the conditions of its Memorandum of Association to:</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000" w:hanging="493"/>
        <w:spacing w:after="0" w:line="256"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1000" w:hanging="493"/>
        <w:spacing w:after="0" w:line="261"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the Company’s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79"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55"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settle as it considers expedient any difficulty which arises in relation to any consolidation and division under the last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special resolution, subject to any confirmation or consent required by the Act, reduce its share capital or any capital redemption reserve or other undistributable reserve in any manner permitted by law.</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SHARE RIGHTS</w:t>
      </w:r>
    </w:p>
    <w:p>
      <w:pPr>
        <w:spacing w:after="0" w:line="229" w:lineRule="exact"/>
        <w:rPr>
          <w:sz w:val="20"/>
          <w:szCs w:val="20"/>
          <w:color w:val="auto"/>
        </w:rPr>
      </w:pPr>
    </w:p>
    <w:p>
      <w:pPr>
        <w:jc w:val="both"/>
        <w:ind w:left="480" w:hanging="472"/>
        <w:spacing w:after="0" w:line="266"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Act and the Company’s Memorandum and Articles of Association and to any special rights conferred on the holders of any shares or class of shares, any share in the Company (whether forming part of the present capital or not) may be issued with or have attached thereto such rights or restrictions whether in regard to dividend, voting, return of capital or otherwise as the Board may determine.</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Act, the Listing Rules and the Memorandum and Articles of Association of the Company, and to any special rights conferred on the holders of any shares or attaching to any class of shares, shares may be issued on the terms that they may be, or at the option of the Company or the holder are, liable to be redeemed on such terms and in such manner, including out of capital, as the Board may deem fit.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jc w:val="both"/>
        <w:ind w:left="520" w:hanging="512"/>
        <w:spacing w:after="0" w:line="258"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Act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either with the consent in writing of the holders of not less than three-fourths in nominal value of the issued shares of that class or with the sanction of a special resolution passed at a separate general meeting of the holders of the shares of that class. To every such separate general meeting all the provisions of these Articles relating to general meetings of the Company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 apply, but so that:</w:t>
      </w:r>
    </w:p>
    <w:p>
      <w:pPr>
        <w:spacing w:after="0" w:line="183" w:lineRule="exact"/>
        <w:rPr>
          <w:rFonts w:ascii="Times New Roman" w:cs="Times New Roman" w:eastAsia="Times New Roman" w:hAnsi="Times New Roman"/>
          <w:sz w:val="18"/>
          <w:szCs w:val="18"/>
          <w:color w:val="auto"/>
        </w:rPr>
      </w:pPr>
    </w:p>
    <w:p>
      <w:pPr>
        <w:jc w:val="both"/>
        <w:ind w:left="1000" w:right="20" w:hanging="493"/>
        <w:spacing w:after="0" w:line="266"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(including at an adjourned meeting) shall be two persons (or in the case of a Member being a corporation, its duly authorised representative) holding or representing by proxy not less than one-third in nominal value of the issued shares of that class (excluding treasury shares); and</w:t>
      </w:r>
    </w:p>
    <w:p>
      <w:pPr>
        <w:spacing w:after="0" w:line="17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shares of the class shall be entitled to one vote for every such share held by him.</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1000" w:hanging="992"/>
        <w:spacing w:after="0" w:line="253"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the Act, these Articles, any direction that may be given by the Company in general meeting and, where applicable, the Listing Rules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to their nominal value. 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w:t>
      </w:r>
    </w:p>
    <w:p>
      <w:pPr>
        <w:spacing w:after="0" w:line="19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warrants or convertible securities or securities of similar nature conferring the right upon the holders thereof to subscribe for any class of shares or securities in the capital of the Company on such terms as it may from time to time determine.</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spacing w:after="0" w:line="179"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SHARE CERTIFICATES</w:t>
      </w:r>
    </w:p>
    <w:p>
      <w:pPr>
        <w:spacing w:after="0" w:line="229" w:lineRule="exact"/>
        <w:rPr>
          <w:sz w:val="20"/>
          <w:szCs w:val="20"/>
          <w:color w:val="auto"/>
        </w:rPr>
      </w:pPr>
    </w:p>
    <w:p>
      <w:pPr>
        <w:jc w:val="both"/>
        <w:ind w:left="520" w:hanging="512"/>
        <w:spacing w:after="0" w:line="25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shall be issued under the Seal or a facsimile thereof or with the Seal printed thereon and shall specify the number and class and distinguishing numbers (if any) of the shares to which it relates, and the amount paid up thereon and may otherwise be in such form as the Directors may from time to time determine. The seal of the Company may only be affixed or imprinted to a share certificate with the authority of the Directors, or be executed under the signature of appropriate officials with statutory authority, unless otherwise determined by the Directors.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188" w:lineRule="exact"/>
        <w:rPr>
          <w:rFonts w:ascii="Times New Roman" w:cs="Times New Roman" w:eastAsia="Times New Roman" w:hAnsi="Times New Roman"/>
          <w:sz w:val="18"/>
          <w:szCs w:val="18"/>
          <w:color w:val="auto"/>
        </w:rPr>
      </w:pPr>
    </w:p>
    <w:p>
      <w:pPr>
        <w:ind w:left="1000" w:hanging="9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the case of a share held jointly by several persons, the Company shall not be bound to issue more than one certificate therefor and delivery of a certificate to one of several joint holders shall be sufficient delivery to all such holders.</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75" w:lineRule="exact"/>
        <w:rPr>
          <w:rFonts w:ascii="Times New Roman" w:cs="Times New Roman" w:eastAsia="Times New Roman" w:hAnsi="Times New Roman"/>
          <w:sz w:val="18"/>
          <w:szCs w:val="18"/>
          <w:color w:val="auto"/>
        </w:rPr>
      </w:pPr>
    </w:p>
    <w:p>
      <w:pPr>
        <w:ind w:left="1000" w:hanging="992"/>
        <w:spacing w:after="0" w:line="261"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79"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520" w:hanging="512"/>
        <w:spacing w:after="0" w:line="25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and on payment of such fee as the Designated Stock Exchange may determine to be the maximum fee payable or such lesser sum as the Board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Directors are satisfied beyond reasonable doubt that the original has been destroyed.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520" w:hanging="512"/>
        <w:spacing w:after="0" w:line="254"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arrived or not, and notwithstanding that the same are joint debts or liabilities of such Member or his estate and any other person, whether a Member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p>
      <w:pPr>
        <w:spacing w:after="0" w:line="191"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spacing w:after="0" w:line="187"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52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the terms of allotment, the Board may from time to time make calls upon the Members in respect of any moneys unpaid on their shares (whether on account of the nominal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spacing w:after="0" w:line="18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shall be deemed to have been made at the time when the resolution of the Board authorising the call was passed and may be made payable either in one lump sum or by instalments.</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spacing w:after="0" w:line="175" w:lineRule="exact"/>
        <w:rPr>
          <w:rFonts w:ascii="Times New Roman" w:cs="Times New Roman" w:eastAsia="Times New Roman" w:hAnsi="Times New Roman"/>
          <w:sz w:val="18"/>
          <w:szCs w:val="18"/>
          <w:color w:val="auto"/>
        </w:rPr>
      </w:pPr>
    </w:p>
    <w:p>
      <w:pPr>
        <w:jc w:val="both"/>
        <w:ind w:left="520" w:right="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wholly or in part.</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8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issue of shares the Board may differentiate between the allottees or holders as to the amount of calls to be paid and the times of payment.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left="520" w:hanging="512"/>
        <w:spacing w:after="0" w:line="25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(1)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ind w:left="1000" w:right="20" w:hanging="9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If a call remains unpaid after it has become due and payable the Board may give to the person from whom it is due not less than fourteen (14) clear days’ Notice:</w:t>
      </w:r>
    </w:p>
    <w:p>
      <w:pPr>
        <w:spacing w:after="0" w:line="161" w:lineRule="exact"/>
        <w:rPr>
          <w:rFonts w:ascii="Times New Roman" w:cs="Times New Roman" w:eastAsia="Times New Roman" w:hAnsi="Times New Roman"/>
          <w:sz w:val="18"/>
          <w:szCs w:val="18"/>
          <w:color w:val="auto"/>
        </w:rPr>
      </w:pPr>
    </w:p>
    <w:p>
      <w:pPr>
        <w:ind w:left="1540" w:hanging="520"/>
        <w:spacing w:after="0" w:line="282" w:lineRule="auto"/>
        <w:tabs>
          <w:tab w:leader="none" w:pos="15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payment of the amount unpaid together with any interest which may have accrued and which may still accrue up to the date of actual payment; and</w:t>
      </w:r>
    </w:p>
    <w:p>
      <w:pPr>
        <w:spacing w:after="0" w:line="161"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if the Notice is not complied with the shares on which the call was made will be liable to be forfeited.</w:t>
      </w:r>
    </w:p>
    <w:p>
      <w:pPr>
        <w:spacing w:after="0" w:line="225"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spacing w:after="0" w:line="179"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16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the surrender of any share liable to be forfeited hereunder and, in such case, references in these Articles to forfeiture will include surrender.</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520" w:hanging="512"/>
        <w:spacing w:after="0" w:line="253"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Directors shall in their discretion so require) interest thereon from the date of forfeiture until payment at such rate (not exceeding twenty per cent. (20%) per annum) as the Board determines.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spacing w:after="0" w:line="194" w:lineRule="exact"/>
        <w:rPr>
          <w:rFonts w:ascii="Times New Roman" w:cs="Times New Roman" w:eastAsia="Times New Roman" w:hAnsi="Times New Roman"/>
          <w:sz w:val="18"/>
          <w:szCs w:val="18"/>
          <w:color w:val="auto"/>
        </w:rPr>
      </w:pPr>
    </w:p>
    <w:p>
      <w:pPr>
        <w:jc w:val="both"/>
        <w:ind w:left="520" w:hanging="512"/>
        <w:spacing w:after="0" w:line="25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19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spacing w:after="0" w:line="1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forfeiture of a share shall not prejudice the right of the Company to any call already made or instalment payable thereon.</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Company shall keep in one or more books a Register of its Members and shall enter therein the following particulars, that is to say:</w:t>
      </w:r>
    </w:p>
    <w:p>
      <w:pPr>
        <w:spacing w:after="0" w:line="225" w:lineRule="exact"/>
        <w:rPr>
          <w:rFonts w:ascii="Times New Roman" w:cs="Times New Roman" w:eastAsia="Times New Roman" w:hAnsi="Times New Roman"/>
          <w:sz w:val="18"/>
          <w:szCs w:val="18"/>
          <w:color w:val="auto"/>
        </w:rPr>
      </w:pPr>
    </w:p>
    <w:p>
      <w:pPr>
        <w:ind w:left="1540" w:hanging="520"/>
        <w:spacing w:after="0" w:line="282" w:lineRule="auto"/>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Member, the number and class of shares held by him and the amount paid or agreed to be considered as paid on such shares;</w:t>
      </w:r>
    </w:p>
    <w:p>
      <w:pPr>
        <w:spacing w:after="0" w:line="161"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was entered in the Register; and</w:t>
      </w:r>
    </w:p>
    <w:p>
      <w:pPr>
        <w:spacing w:after="0" w:line="225"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rFonts w:ascii="Times New Roman" w:cs="Times New Roman" w:eastAsia="Times New Roman" w:hAnsi="Times New Roman"/>
          <w:sz w:val="18"/>
          <w:szCs w:val="18"/>
          <w:color w:val="auto"/>
        </w:rPr>
      </w:pPr>
    </w:p>
    <w:p>
      <w:pPr>
        <w:jc w:val="both"/>
        <w:ind w:left="1000" w:hanging="493"/>
        <w:spacing w:after="0" w:line="282"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54"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and branch register of Members maintained in Hong Kong, as the case may be, shall be open to inspection for at least two (2) hours during business hours by Members without charge or by any other person, upon a maximum payment of Hong Kong dollars 2.50 or such lesser sum specified by the Board, at the Office or such other place at which the Register is kept in accordance with the Act or, if appropriate, upon a maximum payment of Hong Kong dollars 1.00 or such lesser sum specified by the Board at the Registration Office. The Register including any overseas or local or other branch register of Members may, after notice has been given by advertisement in any newspapers in accordance with the requirements of any Designated Stock Exchange or by any electronic means in such manner as may be accepted by the Designated Stock Exchange to that effect, be closed at such times or for such periods not exceeding in the whole thirty (30) days in each year as the Board may determine and either generally or in respect of any class of shares. The period of thirty (30) days may be extended for a further period or periods not exceeding thirty (30) days in respect of any year if approved by the Members by ordinary resolution.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29" w:lineRule="exact"/>
        <w:rPr>
          <w:sz w:val="20"/>
          <w:szCs w:val="20"/>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Listing Rules, notwithstanding any other provision of these Articles the Company or the Directors may fix any date as the record date for:</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Members entitled to receive any dividend, distribution, allotment or issue;</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Members entitled to receive notice of and to vote at any general meeting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left="1000" w:hanging="992"/>
        <w:spacing w:after="0" w:line="26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its nominee(s), by hand or by machine imprinted signature or by such other manner of execution as the Board may approve from time to time.</w:t>
      </w:r>
    </w:p>
    <w:p>
      <w:pPr>
        <w:spacing w:after="0" w:line="179" w:lineRule="exact"/>
        <w:rPr>
          <w:rFonts w:ascii="Times New Roman" w:cs="Times New Roman" w:eastAsia="Times New Roman" w:hAnsi="Times New Roman"/>
          <w:sz w:val="18"/>
          <w:szCs w:val="18"/>
          <w:color w:val="auto"/>
        </w:rPr>
      </w:pPr>
    </w:p>
    <w:p>
      <w:pPr>
        <w:jc w:val="both"/>
        <w:ind w:left="1000" w:hanging="493"/>
        <w:spacing w:after="0" w:line="258" w:lineRule="auto"/>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subparagraph (1) above, for so long as any shares are listed on the Designated Stock Exchange, titles to such listed shares may be evidenced and transferred in accordance with the laws applicable to and the Listing Rules that are or shall be applicable to such listed shares. The register of members of the Company in respect of its listed shares (whether the Register or a branch register) may be kept by recording the particulars required by Section 40 of the Act in a form otherwise than legible if such recording otherwise complies with the laws applicable to and the Listing Rules that are or shall be applicable to such listed shares.</w:t>
      </w:r>
    </w:p>
    <w:p>
      <w:pPr>
        <w:spacing w:after="0" w:line="183"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the last preceding Article,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87" w:lineRule="exact"/>
        <w:rPr>
          <w:rFonts w:ascii="Times New Roman" w:cs="Times New Roman" w:eastAsia="Times New Roman" w:hAnsi="Times New Roman"/>
          <w:sz w:val="18"/>
          <w:szCs w:val="18"/>
          <w:color w:val="auto"/>
        </w:rPr>
      </w:pPr>
    </w:p>
    <w:p>
      <w:pPr>
        <w:ind w:left="1000" w:hanging="992"/>
        <w:spacing w:after="0" w:line="26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(4) joint holders or a transfer of any share (not being a fully paid up share) on which the Company has a lien.</w:t>
      </w:r>
    </w:p>
    <w:p>
      <w:pPr>
        <w:spacing w:after="0" w:line="17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shall be made to an infant or to a person of unsound mind or under other legal disability.</w:t>
      </w:r>
    </w:p>
    <w:p>
      <w:pPr>
        <w:spacing w:after="0" w:line="22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left="1000" w:hanging="493"/>
        <w:spacing w:after="0" w:line="256"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p>
      <w:pPr>
        <w:spacing w:after="0" w:line="18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last preceding Article, the Board may decline to recognise any instrument of transfer unless:–</w:t>
      </w:r>
    </w:p>
    <w:p>
      <w:pPr>
        <w:spacing w:after="0" w:line="225" w:lineRule="exact"/>
        <w:rPr>
          <w:sz w:val="20"/>
          <w:szCs w:val="20"/>
          <w:color w:val="auto"/>
        </w:rPr>
      </w:pPr>
    </w:p>
    <w:p>
      <w:pPr>
        <w:ind w:left="1000" w:hanging="493"/>
        <w:spacing w:after="0" w:line="282"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17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duly and properly stamped.</w:t>
      </w:r>
    </w:p>
    <w:p>
      <w:pPr>
        <w:spacing w:after="0" w:line="22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refuses to register a transfer of any share, it shall, within two (2) months after the date on which the transfer was lodged with the Company, send to each of the transferor and transferee notice of the refusal.</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of shares or of any class of shares may, after notice has been given by announcement or by electronic communication or by advertisement in any newspapers or by any other means in accordance with the requirements of any Designated Stock Exchange to that effect be suspended at such times and for such periods (not exceeding in the whole thirty (30) days in any year) as the Board may determine. The period of thirty (30) days may be extended for a further period or periods not exceeding thirty (30) days in respect of any year if approved by the Members by ordinary resolution.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520" w:hanging="512"/>
        <w:spacing w:after="0" w:line="26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spacing w:after="0" w:line="179"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spacing w:after="0" w:line="18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72(2) being met, such a person may vote at meetings.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UNTRACEABLE MEMBERS</w:t>
      </w:r>
    </w:p>
    <w:p>
      <w:pPr>
        <w:spacing w:after="0" w:line="229" w:lineRule="exact"/>
        <w:rPr>
          <w:sz w:val="20"/>
          <w:szCs w:val="20"/>
          <w:color w:val="auto"/>
        </w:rPr>
      </w:pPr>
    </w:p>
    <w:p>
      <w:pPr>
        <w:ind w:left="1000" w:hanging="992"/>
        <w:spacing w:after="0" w:line="261"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Without prejudice to the rights of the Company under paragraph (2) of this Article,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179"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sell, in such manner as the Board thinks fit, any shares of a Member who is untraceable, but no such sale shall be made unless:</w:t>
      </w:r>
    </w:p>
    <w:p>
      <w:pPr>
        <w:spacing w:after="0" w:line="161" w:lineRule="exact"/>
        <w:rPr>
          <w:rFonts w:ascii="Times New Roman" w:cs="Times New Roman" w:eastAsia="Times New Roman" w:hAnsi="Times New Roman"/>
          <w:sz w:val="18"/>
          <w:szCs w:val="18"/>
          <w:color w:val="auto"/>
        </w:rPr>
      </w:pPr>
    </w:p>
    <w:p>
      <w:pPr>
        <w:jc w:val="both"/>
        <w:ind w:left="1540" w:right="20" w:hanging="520"/>
        <w:spacing w:after="0" w:line="266" w:lineRule="auto"/>
        <w:tabs>
          <w:tab w:leader="none" w:pos="154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or warrants in respect of dividends of the shares in question, being not less than three in total number, for any sum payable in cash to the holder of such shares in respect of them sent during the relevant period in the manner authorised by the Articles have remained uncashed;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left="1540" w:hanging="520"/>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175" w:lineRule="exact"/>
        <w:rPr>
          <w:rFonts w:ascii="Times New Roman" w:cs="Times New Roman" w:eastAsia="Times New Roman" w:hAnsi="Times New Roman"/>
          <w:sz w:val="18"/>
          <w:szCs w:val="18"/>
          <w:color w:val="auto"/>
        </w:rPr>
      </w:pPr>
    </w:p>
    <w:p>
      <w:pPr>
        <w:jc w:val="both"/>
        <w:ind w:left="1540" w:hanging="520"/>
        <w:spacing w:after="0" w:line="261"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if so required by the Listing Rules, has given notice to, and caused advertisement in newspapers in accordance with the requirements of, the Designated Stock Exchange to be made of its intention to sell such shares in the manner required by the Designated Stock Exchange, and a period of three (3) months or such shorter period as may be allowed by the Designated Stock Exchange has elapsed since the date of such advertisement.</w:t>
      </w:r>
    </w:p>
    <w:p>
      <w:pPr>
        <w:spacing w:after="0" w:line="179"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54"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52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general meeting of the Company shall be held for each financial year and such annual general meeting must be held within six (6) months after the end of the Company’s financial year (unless a longer period would not infringe the Listing Rules, if any) at such time and place as may be determined by the Board.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left="520" w:hanging="512"/>
        <w:spacing w:after="0" w:line="253"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general meeting, other than an annual general meeting, shall be called an extraordinary general meeting. General meetings may be held in any part of the world as may be determined by the Board. Notwithstanding any provisions in these Articles, any general meeting or any class meeting may be held physically, as a hybrid meeting (partially physical and partially electronic) or wholly by electronic means using such telephone, electronic or other communication facilities as to permit all persons participating in the meeting to communicate with each other, and participation in such a meeting shall constitute presence at such meeting. Unless otherwise determined by the Directors, the manner of convening and the proceedings at a general meeting set out in these Articles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 to hybrid or wholly electronic meetings. In the event of any technical difficulties, disruptions, or procedural issues arising during a hybrid or electronic meeting, including but not limited to connectivity problems, platform malfunctions, or disputes regarding the conduct of the meeting, the chairman of the meeting shall have the authority to make any rulings or decisions necessary to address such issues. Any ruling, determination, or decision made by the chairman of the meeting under the scope of this provision shall be final, conclusive, and binding on the Company and all Members.</w:t>
      </w:r>
    </w:p>
    <w:p>
      <w:pPr>
        <w:spacing w:after="0" w:line="194"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whenever it thinks fit call extraordinary general meetings. Any one or more Member(s) holding at the date of deposit of the requisition not less than one-tenth of the paid up capital of the Company (excluding treasury shares) carrying the right of voting at general meetings of the Company, on a one vote per share basis, shall at all times have the right, by written requisition to the Board or the Secretary of the Company, to require an extraordinary general meeting to be called by the Board for the transaction of any business or resolution specified in such requisition; and such meeting shall be held within two (2) months after the deposit of such requisition. If within twenty-one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ind w:left="1000" w:hanging="992"/>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 annual general meeting must be called by Notice of not less than twenty-one (21) clear days. All other general meetings (including an extraordinary general meeting) must be called by Notice of not less than fourteen (14) clear days but if permitted by the Listing Rules, a general meeting may be called by shorter notice, if it is so agreed:</w:t>
      </w:r>
    </w:p>
    <w:p>
      <w:pPr>
        <w:spacing w:after="0" w:line="175"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meeting called as an annual general meeting, by all the Members entitled to attend and vote thereat; and</w:t>
      </w:r>
    </w:p>
    <w:p>
      <w:pPr>
        <w:spacing w:after="0" w:line="225" w:lineRule="exact"/>
        <w:rPr>
          <w:rFonts w:ascii="Times New Roman" w:cs="Times New Roman" w:eastAsia="Times New Roman" w:hAnsi="Times New Roman"/>
          <w:sz w:val="18"/>
          <w:szCs w:val="18"/>
          <w:color w:val="auto"/>
        </w:rPr>
      </w:pPr>
    </w:p>
    <w:p>
      <w:pPr>
        <w:ind w:left="1540" w:hanging="520"/>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meeting, by a majority in number of the Members having the right to attend and vote at the meeting, being a majority together representing not less than ninety-five per cent. (95%) of the total voting rights at the meeting of all the Members.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1000" w:hanging="493"/>
        <w:spacing w:after="0" w:line="254"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specify the time of the meeting, the physical location (if applicable), and in the case of a hybrid or electronic meeting, the electronic platform or means by which Members may attend and participate. It shall also include particulars of resolutions to be considered at the meeting and,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and the Auditors. For hybrid or electronic meetings, the Notice shall either include instructions for accessing and participating in the meeting or specify where or how such instructions will be provided to the Members.</w:t>
      </w:r>
    </w:p>
    <w:p>
      <w:pPr>
        <w:spacing w:after="0" w:line="19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ind w:left="1000" w:right="20" w:hanging="9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All business shall be deemed special that is transacted at an extraordinary general meeting, and also all business that is transacted at an annual general meeting, with the exception of:</w:t>
      </w:r>
    </w:p>
    <w:p>
      <w:pPr>
        <w:spacing w:after="0" w:line="377"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sanctioning of dividends;</w:t>
      </w:r>
    </w:p>
    <w:p>
      <w:pPr>
        <w:spacing w:after="0" w:line="225" w:lineRule="exact"/>
        <w:rPr>
          <w:rFonts w:ascii="Times New Roman" w:cs="Times New Roman" w:eastAsia="Times New Roman" w:hAnsi="Times New Roman"/>
          <w:sz w:val="18"/>
          <w:szCs w:val="18"/>
          <w:color w:val="auto"/>
        </w:rPr>
      </w:pPr>
    </w:p>
    <w:p>
      <w:pPr>
        <w:ind w:left="1540" w:right="20" w:hanging="520"/>
        <w:spacing w:after="0" w:line="282" w:lineRule="auto"/>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and adoption of the accounts and balance sheet and the reports of the Directors and Auditors and other documents required to be annexed to the balance sheet;</w:t>
      </w:r>
    </w:p>
    <w:p>
      <w:pPr>
        <w:spacing w:after="0" w:line="161"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whether by rotation or otherwise in the place of those retiring;</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Auditors (where special notice of the intention for such appointment is not required by the Act) and other officers; and</w:t>
      </w:r>
    </w:p>
    <w:p>
      <w:pPr>
        <w:spacing w:after="0" w:line="225"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fixing of the remuneration of the Auditors, and the voting of remuneration or extra remuneration to the Directors;</w:t>
      </w:r>
    </w:p>
    <w:p>
      <w:pPr>
        <w:spacing w:after="0" w:line="225"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appointment of a chairman of a meeting shall be transacted at any general meeting unless a quorum is present at the commencement of the business. Two (2) Members entitled to vote and present in person (in the case of a Member being a corporation) by its duly authorised representative or by proxy or, for quorum purposes only, two persons appointed by the clearing house as authorised representative or proxy shall form a quorum for all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52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thirty (30) minutes (or such longer time not exceeding one hour as the chairman of the meeting may determine to wait) after the time appointed for the meeting a quorum is not present, the meeting, if convened on the requisition of Members, shall be dissolved. In any other case it shall stand adjourned to the same day in the next week at the same time and place or to such time and place as the Board may determine. If at such adjourned meeting a quorum is not present within half an hour from the time appointed for holding the meeting, the meeting shall be dissolved.</w:t>
      </w:r>
    </w:p>
    <w:p>
      <w:pPr>
        <w:spacing w:after="0" w:line="179" w:lineRule="exact"/>
        <w:rPr>
          <w:rFonts w:ascii="Times New Roman" w:cs="Times New Roman" w:eastAsia="Times New Roman" w:hAnsi="Times New Roman"/>
          <w:sz w:val="18"/>
          <w:szCs w:val="18"/>
          <w:color w:val="auto"/>
        </w:rPr>
      </w:pPr>
    </w:p>
    <w:p>
      <w:pPr>
        <w:jc w:val="both"/>
        <w:ind w:left="520" w:hanging="512"/>
        <w:spacing w:after="0" w:line="254"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Company or if there is more than one chairman, any one of them as may be agreed amongst themselves or failing such agreement, any one of them elected by all the Directors present shall preside as chairman at a general meeting. If at any meeting no chairman, is present within fifteen (15) minutes after the time appointed for holding the meeting, or is willing to act as chairman, the deputy chairman of the Company or if there is more than one deputy chairman, any one of them as may be agreed amongst themselves or failing such agreement, any one of them elected by all the Directors present shall preside as chairman. If no chairman or deputy chairman is present or is willing to act as chairman of the meeting,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(in the case of a Member being a corporation) by its duly authorised representative or by proxy and entitled to vote shall elect one of their number to be chairman of the meeting.</w:t>
      </w:r>
    </w:p>
    <w:p>
      <w:pPr>
        <w:spacing w:after="0" w:line="188" w:lineRule="exact"/>
        <w:rPr>
          <w:rFonts w:ascii="Times New Roman" w:cs="Times New Roman" w:eastAsia="Times New Roman" w:hAnsi="Times New Roman"/>
          <w:sz w:val="18"/>
          <w:szCs w:val="18"/>
          <w:color w:val="auto"/>
        </w:rPr>
      </w:pPr>
    </w:p>
    <w:p>
      <w:pPr>
        <w:jc w:val="both"/>
        <w:ind w:left="520" w:hanging="512"/>
        <w:spacing w:after="0" w:line="254"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holding of a general meeting, the Board may postpone, and at a general meeting, the chairman may (without the consent of the meeting) or shall at the direction of the meeting, adjourn the meeting from time to time (or indefinitely) and from place to place, but no business shall be transacted at any adjourned or postponed meeting other than the business which might lawfully have been transacted at the meeting had the adjournment or the postponement not taken place. Notice of a postponement must be given to all Members by any means as the Board may determine. When a meeting is adjourned for fourteen (14) days or more, at least seven (7) clear days’ notice of the adjourned meeting shall be given specifying the time and place of the adjourned meeting but it shall not be necessary to specify in such notice the nature of the business to be transacted at the adjourned meeting and the general nature of the business to be transacted. Save as aforesaid, it shall be unnecessary to give notice of an adjournment.</w:t>
      </w:r>
    </w:p>
    <w:p>
      <w:pPr>
        <w:spacing w:after="0" w:line="19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ind w:left="1000" w:hanging="992"/>
        <w:spacing w:after="0" w:line="253"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any special rights or restrictions as to voting for the time being attached to any shares by or in accordance with these Articles, at any general meeting on a poll every Member present in person or by proxy or, in the case of a Member being a corporation, by its duly authorised representative shall have one vote for every fully paid share of which he is the holder but so that no amount paid up or credited as paid up on a share in advance of calls or instalments is treated for the foregoing purposes as paid up on the share. A resolution put to the vote of a meeting shall be decided by way of a poll save that the chairman of the meeting may in good faith, allow a resolution which relates purely to a procedural or administrative matter to be voted on by a show of hands in which case every Member present in person (or being a corporation, is present by a duly authorised representative), or by proxy(ies) shall have one vote provided that where more than one proxy is appointed by a Member which is a clearing house (or its nominee(s)), each such proxy shall have one vote on a show of hands. For purposes of this Article, procedural and administrative matters are those that (i) are not on the agenda of the general meeting or in any supplementary circular that may be issued by the Company to its Members; and (ii) relate to the chairman’s duties to maintain the orderly conduct of the meeting and/or allow the business of the meeting to be properly and effectively dealt with, whilst allowing all Members a reasonable opportunity to express their views. Votes (whether on a show of hands or by way of poll) may be cast by such means, electronic or otherwise, as the Directors or the chairman of the meeting may determine.</w:t>
      </w:r>
    </w:p>
    <w:p>
      <w:pPr>
        <w:spacing w:after="0" w:line="18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show of hands is allowed, before or on the declaration of the result of the show of hands, a poll may be demanded:</w:t>
      </w:r>
    </w:p>
    <w:p>
      <w:pPr>
        <w:spacing w:after="0" w:line="225" w:lineRule="exact"/>
        <w:rPr>
          <w:rFonts w:ascii="Times New Roman" w:cs="Times New Roman" w:eastAsia="Times New Roman" w:hAnsi="Times New Roman"/>
          <w:sz w:val="18"/>
          <w:szCs w:val="18"/>
          <w:color w:val="auto"/>
        </w:rPr>
      </w:pPr>
    </w:p>
    <w:p>
      <w:pPr>
        <w:ind w:left="1540" w:hanging="520"/>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three Members present in person or in the case of a Member being a corporation by its duly authorised representative or by proxy for the time being entitled to vote at the meeting; or</w:t>
      </w:r>
    </w:p>
    <w:p>
      <w:pPr>
        <w:spacing w:after="0" w:line="161" w:lineRule="exact"/>
        <w:rPr>
          <w:rFonts w:ascii="Times New Roman" w:cs="Times New Roman" w:eastAsia="Times New Roman" w:hAnsi="Times New Roman"/>
          <w:sz w:val="18"/>
          <w:szCs w:val="18"/>
          <w:color w:val="auto"/>
        </w:rPr>
      </w:pPr>
    </w:p>
    <w:p>
      <w:pPr>
        <w:ind w:left="1540" w:hanging="520"/>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Member or Members present in person or in the case of a Member being a corporation by its duly authorised representative or by proxy and representing not less than one-tenth of the total voting rights of all Members having the right to vote at the meeting; or</w:t>
      </w:r>
    </w:p>
    <w:p>
      <w:pPr>
        <w:spacing w:after="0" w:line="161" w:lineRule="exact"/>
        <w:rPr>
          <w:rFonts w:ascii="Times New Roman" w:cs="Times New Roman" w:eastAsia="Times New Roman" w:hAnsi="Times New Roman"/>
          <w:sz w:val="18"/>
          <w:szCs w:val="18"/>
          <w:color w:val="auto"/>
        </w:rPr>
      </w:pPr>
    </w:p>
    <w:p>
      <w:pPr>
        <w:jc w:val="both"/>
        <w:ind w:left="1540" w:hanging="520"/>
        <w:spacing w:after="0" w:line="266"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one-tenth of the total sum paid up on all shares conferring that right.</w:t>
      </w:r>
    </w:p>
    <w:p>
      <w:pPr>
        <w:spacing w:after="0" w:line="17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 demand by a person as proxy for a Member or in the case of a Member being a corporation by its duly authorised representative shall be deemed to be the same as a demand by the Member.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left="520" w:hanging="512"/>
        <w:spacing w:after="0" w:line="258"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resolution is voted on by a show of hands,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 The result of the poll shall be deemed to be the resolution of the meeting. The Company shall only be required to disclose the voting figures on a poll if such disclosure is required by the Listing Rules.</w:t>
      </w:r>
    </w:p>
    <w:p>
      <w:pPr>
        <w:spacing w:after="0" w:line="18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entitled to more than one vote on a poll need not use all his votes or cast all the votes he uses in the same way.</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 simple majority of votes except where a greater majority is required by these Articles or by the Act. In the case of an equality of votes, the chairman of such meeting shall be entitled to a second or casting vote in addition to any other vote he may have.</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joint holders of any share any one of such joint holders may vote, either in person or by proxy, in respect of such share as if he were solely entitled thereto, but if more than one of such joint holders be present at any meeting the vote of the senior holder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83" w:lineRule="exact"/>
        <w:rPr>
          <w:rFonts w:ascii="Times New Roman" w:cs="Times New Roman" w:eastAsia="Times New Roman" w:hAnsi="Times New Roman"/>
          <w:sz w:val="18"/>
          <w:szCs w:val="18"/>
          <w:color w:val="auto"/>
        </w:rPr>
      </w:pPr>
    </w:p>
    <w:p>
      <w:pPr>
        <w:ind w:left="1000" w:hanging="992"/>
        <w:spacing w:after="0" w:line="255"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 Member who is a patient for any purpose relating to mental health or in respect of whom an order has been made by any court having jurisdiction for the protection or management of the affairs of persons incapable of managing their own affairs may vote, by his receiver, committee,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in the nature of a receiver, committee or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appointed by such court, and such receiver, committee,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may vote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as the case may be.</w:t>
      </w:r>
    </w:p>
    <w:p>
      <w:pPr>
        <w:spacing w:after="0" w:line="188"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under Article 53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000" w:hanging="9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shall have the right to (a) speak at a general meeting; and (b) vote at a general meeting except where a Member is required, by the Listing Rules, to abstain from voting to approve the matter under consideration.</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knowledge that any Member is, under the Listing Rules, required to abstain from voting on any particular resolution of the Company or restricted to voting only for or only against any particular resolution of the Company, any votes cast by or on behalf of such Member in contravention of such requirement or restriction shall not be counted.</w:t>
      </w:r>
    </w:p>
    <w:p>
      <w:pPr>
        <w:spacing w:after="0" w:line="1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shall be raised to the qualification of any voter; or</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votes have been counted which ought not to have been counted or which might have been rejected; or</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votes are not counted which ought to have been counted;</w:t>
      </w:r>
    </w:p>
    <w:p>
      <w:pPr>
        <w:spacing w:after="0" w:line="225" w:lineRule="exact"/>
        <w:rPr>
          <w:rFonts w:ascii="Times New Roman" w:cs="Times New Roman" w:eastAsia="Times New Roman" w:hAnsi="Times New Roman"/>
          <w:sz w:val="18"/>
          <w:szCs w:val="18"/>
          <w:color w:val="auto"/>
        </w:rPr>
      </w:pPr>
    </w:p>
    <w:p>
      <w:pPr>
        <w:jc w:val="both"/>
        <w:ind w:left="10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520" w:hanging="512"/>
        <w:spacing w:after="0" w:line="258"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spacing w:after="0" w:line="183"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such form, including electronic or otherwise, as the Board may determine and in the absence of such determination, shall be in writing, which may include electronic writing, and signed by the appointor or his attorney duly authorised in writing or, if the appointor is a corporation, either under its seal or signed by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000" w:hanging="992"/>
        <w:spacing w:after="0" w:line="253"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Company may, at its absolute discretion, provide an electronic address for the receipt of any document or information relating to proxies for a general meeting (including any instrument of proxy or invitation to appoint a proxy, any document necessary to show the validity of, or otherwise relating to, an appointment of proxy (whether or not required under these Articles) and notice of termination of the authority of a proxy). If such an electronic address is provided, the Company shall be deemed to have agreed that any such document or information (relating to proxies as aforesaid) may be sent by electronic means to that address, subject as hereafter provided and subject to any other limitations or conditions specified by the Company when providing the address. Without limitation, the Company may from time to time determine that any such electronic address may be used generally for such matters or specifically for particular meetings or purposes and, if so, the Company may provide different electronic addresses for different purposes. The Company may also impose any conditions on the transmission of and its receipt of such electronic communications including, for the avoidance of doubt, imposing any security or encryption arrangements as may be specified by the Company. If any document or information required to be sent to the Company under this Article is sent to the Company by electronic means, such document or information is not treated as validly delivered to or deposited with the Company if the same is not received by the Company at its designated electronic address provided in accordance with this Article or if no electronic address is so designated by the Company for the receipt of such document or information.</w:t>
      </w:r>
    </w:p>
    <w:p>
      <w:pPr>
        <w:spacing w:after="0" w:line="187" w:lineRule="exact"/>
        <w:rPr>
          <w:rFonts w:ascii="Times New Roman" w:cs="Times New Roman" w:eastAsia="Times New Roman" w:hAnsi="Times New Roman"/>
          <w:sz w:val="18"/>
          <w:szCs w:val="18"/>
          <w:color w:val="auto"/>
        </w:rPr>
      </w:pPr>
    </w:p>
    <w:p>
      <w:pPr>
        <w:jc w:val="both"/>
        <w:ind w:left="1000" w:hanging="493"/>
        <w:spacing w:after="0" w:line="253" w:lineRule="auto"/>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or if the Company has provided an electronic address in accordance with the preceding paragraph, shall be received at the electronic address specified, not less than forty-eight (48) hours before the time appointed for holding the meeting or adjourned meeting at which the person named in the instrument proposes to vote. No instrument appointing a proxy shall be valid after the expiration of twelve (12) months from the date named in it as the date of its execution, except at an adjourned meeting in cases where the meeting was originally held within twelve (12) months from such date. Delivery of an instrument appointing a proxy shall not preclude a Member from attending and voting at the meeting convened and in such event, the instrument appointing a proxy shall be deemed to be revoked.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left="520" w:hanging="512"/>
        <w:spacing w:after="0" w:line="258"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vote on any amendment of a resolution put to the meeting for which it is given as the proxy thinks fit. The instrument of proxy shall, unless the contrary is stated therein, be valid as well for any adjournment of the meeting as for the meeting to which it relates.</w:t>
      </w:r>
    </w:p>
    <w:p>
      <w:pPr>
        <w:spacing w:after="0" w:line="183"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(2) hours at least before the commencement of the meeting or adjourned meeting, at which the instrument of proxy is used.</w:t>
      </w:r>
    </w:p>
    <w:p>
      <w:pPr>
        <w:spacing w:after="0" w:line="399" w:lineRule="exact"/>
        <w:rPr>
          <w:rFonts w:ascii="Times New Roman" w:cs="Times New Roman" w:eastAsia="Times New Roman" w:hAnsi="Times New Roman"/>
          <w:sz w:val="18"/>
          <w:szCs w:val="18"/>
          <w:color w:val="auto"/>
        </w:rPr>
      </w:pPr>
    </w:p>
    <w:p>
      <w:pPr>
        <w:jc w:val="both"/>
        <w:ind w:left="520" w:right="2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which under these Articles a Member may do by proxy he may likewise do by his duly appointed attorney and the provisions of these Articles relating to proxies and instruments appointing proxies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relation to any such attorney and the instrument under which such attorney is appointed.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w:t>
      </w:r>
    </w:p>
    <w:p>
      <w:pPr>
        <w:spacing w:after="0" w:line="229" w:lineRule="exact"/>
        <w:rPr>
          <w:sz w:val="20"/>
          <w:szCs w:val="20"/>
          <w:color w:val="auto"/>
        </w:rPr>
      </w:pPr>
    </w:p>
    <w:p>
      <w:pPr>
        <w:ind w:left="1000" w:hanging="992"/>
        <w:spacing w:after="0" w:line="258"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jc w:val="both"/>
        <w:ind w:left="1000" w:hanging="493"/>
        <w:spacing w:after="0" w:line="255"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clearing house (or its nominee(s)), being a corporation, is a Member, it may authorise such persons as it thinks fit to act as its representatives at any meeting of the Company or at any meeting of any class of Members provided that, if more than one person is so authorised,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the shares of the Company held by the clearing house (or its nominee(s)) including, the right to speak and to vote, and where a show of hands is allowed, the right to vote individually on a show of hands.</w:t>
      </w:r>
    </w:p>
    <w:p>
      <w:pPr>
        <w:spacing w:after="0" w:line="188"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these Articles to a duly authorised representative of a Member being a corporation shall mean a representative authorised under the provisions of this Article.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RESOLUTIONS OF MEMBERS</w:t>
      </w:r>
    </w:p>
    <w:p>
      <w:pPr>
        <w:spacing w:after="0" w:line="229" w:lineRule="exact"/>
        <w:rPr>
          <w:sz w:val="20"/>
          <w:szCs w:val="20"/>
          <w:color w:val="auto"/>
        </w:rPr>
      </w:pPr>
    </w:p>
    <w:p>
      <w:pPr>
        <w:jc w:val="both"/>
        <w:ind w:left="500" w:hanging="492"/>
        <w:spacing w:after="0" w:line="25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(in such manner as to indicate, expressly or impliedly, unconditional approval) by or on behalf of all persons for the time being entitled to receive notice of and to attend and vote at general meetings of the Company shall, for the purposes of these Articles, be treated as a resolution duly passed at a general meeting of the Company and, where relevant, as a special resolution so passed. Any such resolution shall be deemed to have been passed at a meeting held on the date on which it was signed by the last Member to sign, and where the resolution states a date as being the date of his signature thereof by any Member the statement shall be prima facie evidence that it was signed by him on that date. Such a resolution may consist of several documents in the like form, each signed by one or more relevant Members.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1000" w:hanging="992"/>
        <w:spacing w:after="0" w:line="258"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Unless otherwise determined by the Company in general meeting, the number of Directors shall not be less than two (2). There shall be no maximum number of Directors unless otherwise determined from time to time by the Members in general meeting. The Directors shall be elected or appointed in the first place by the subscribers to the Memorandum of Association or by a majority of them and thereafter in accordance with Article 84 called for such purpose and who shall hold office for such term as the Members may determine or, in the absence of such determination, in accordance with Article 84 or until their successors are elected or appointed or their office is otherwise vacated.</w:t>
      </w:r>
    </w:p>
    <w:p>
      <w:pPr>
        <w:spacing w:after="0" w:line="18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the Act, the Company may by ordinary resolution elect any person to be a Director either to fill a casual vacancy on the Board, or as an addition to the existing Board.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have the power from time to time and at any time to appoint any person as a Director either to fill a casual vacancy on the Board or as an addition to the existing Board. Any Director so appointed shall hold office only until the first annual general meeting of the Company after his appointment and shall then be eligible for re-election.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left="1000" w:hanging="493"/>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 Director nor an alternate Director shall be required to hold any shares of the Company by way of qualification and a Director or alternate Director (as the case may be) who is not a Member shall be entitled to receive notice of and to attend and speak at any general meeting of the Company and of all classes of shares of the Company.</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may, at any general meeting convened and held in accordance with these Articles, by ordinary resolution remove a Director (including a managing or other executive Director) at any time before the expiration of his term of office notwithstanding anything to the contrary in these Articles or in any agreement between the Company and such Director (but without prejudice to any claim for damages under any such agreement).</w:t>
      </w:r>
    </w:p>
    <w:p>
      <w:pPr>
        <w:spacing w:after="0" w:line="179"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under the provisions of subparagraph (5) above may be filled by the election or appointment by ordinary resolution of the Members at the meeting at which such Director is removed.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in general meeting by ordinary resolution increase or reduce the number of Directors but so that the number of Directors shall never be less than two (2).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RETIREMENT OF DIRECTORS</w:t>
      </w:r>
    </w:p>
    <w:p>
      <w:pPr>
        <w:spacing w:after="0" w:line="229" w:lineRule="exact"/>
        <w:rPr>
          <w:sz w:val="20"/>
          <w:szCs w:val="20"/>
          <w:color w:val="auto"/>
        </w:rPr>
      </w:pPr>
    </w:p>
    <w:p>
      <w:pPr>
        <w:ind w:left="1000" w:right="20" w:hanging="992"/>
        <w:spacing w:after="0" w:line="266"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Notwithstanding any other provisions in the Articles, at each annual general meeting one-third of the Directors for the time being (or, if their number is not a multiple of three (3), the number nearest to but not less than one-third) shall retire from office by rotation provided that every Director shall be subject to retirement at an annual general meeting at least once every three years.</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55" w:lineRule="auto"/>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retiring Director shall be eligible for re-election and shall continue to act as a Director throughout the meeting at which he retires. The Directors to retire by rotation shall include (so far as necessary to ascertain the number of directors to retire by rotation) any Director who wishes to retire and not to offer himself for re-election. Any further Directors so to retire shall be those of the other Directors subject to retirement by rotation who have been longest in office since their last re-election or appointment and so that as between persons who became or were last re-elected Directors on the same day those to retire shall (unless they otherwise agree among themselves) be determined by lot. Any Director appointed by the Board pursuant to Article 83(3) shall not be taken into account in determining which particular Directors or the number of Directors who are to retire by rotation.</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a Director retiring at the meeting shall, unless recommended by the Directors for election, be eligible for election as a Director at any general meeting unless a Notice signed by a Member (other than the person to be proposed) duly qualified to attend and vote at the meeting for which such notice is given of his intention to propose such person for election and also a Notice signed by the person to be proposed of his willingness to be elected shall have been lodged at the head office or at the Registration Office provided that such Notices must be lodged with the Company at least fourteen (14) days prior to the date of the general meeting of election but no earlier than the day after despatch of the Notice of the general meeting appointed for such election.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shall be vacated if the Director:</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delivered to the Company at the Office or tendered at a meeting of the Board;</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of unsound mind or dies;</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six consecutive months, and his alternate Director, if any, shall not during such period have attended in his stead and the Board resolves that his office be vacated;</w:t>
      </w:r>
    </w:p>
    <w:p>
      <w:pPr>
        <w:spacing w:after="0" w:line="16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has a receiving order made against him or suspends payment or compounds with his creditors;</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law from being a Director; or</w:t>
      </w:r>
    </w:p>
    <w:p>
      <w:pPr>
        <w:spacing w:after="0" w:line="22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a Director by virtue of any provision of the Statutes or is removed from office pursuant to these Articles.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DIRECTORS</w:t>
      </w:r>
    </w:p>
    <w:p>
      <w:pPr>
        <w:spacing w:after="0" w:line="229" w:lineRule="exact"/>
        <w:rPr>
          <w:sz w:val="20"/>
          <w:szCs w:val="20"/>
          <w:color w:val="auto"/>
        </w:rPr>
      </w:pPr>
    </w:p>
    <w:p>
      <w:pPr>
        <w:jc w:val="both"/>
        <w:ind w:left="520" w:hanging="512"/>
        <w:spacing w:after="0" w:line="255"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appoint any one or more of its body to be a managing director, joint managing director or deputy managing director or to hold any other employment or executive office with the Company for such period (subject to their continuance as Directors) and upon such terms as the Board may determine and the Board may revoke or terminate any of such appointments. Any such revocation or termination as aforesaid shall be without prejudice to any claim for damages that such Director may have against the Company or the Company may have against such Director. A Director appointed to an office under this Article shall be subject to the same provisions as to removal as the other Directors of the Company, and he shall (subject to the provisions of any contract between him and the Company) ipso facto and immediately cease to hold such office if he shall cease to hold the office of Director for any cause.</w:t>
      </w:r>
    </w:p>
    <w:p>
      <w:pPr>
        <w:spacing w:after="0" w:line="188"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93, 94, 95 and 96, an executive director appointed to an office under Article 87 hereof shall receive such remuneration (whether by way of salary, commission, participation in profits or otherwise or by all or any of those modes) and such other benefits (including pension and/or gratuity and/or other benefits on retirement) and allowances as the Board may from time to time determine, and either in addition to or in lieu of his remuneration as a Director.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DIRECTORS</w:t>
      </w:r>
    </w:p>
    <w:p>
      <w:pPr>
        <w:spacing w:after="0" w:line="229" w:lineRule="exact"/>
        <w:rPr>
          <w:sz w:val="20"/>
          <w:szCs w:val="20"/>
          <w:color w:val="auto"/>
        </w:rPr>
      </w:pPr>
    </w:p>
    <w:p>
      <w:pPr>
        <w:jc w:val="both"/>
        <w:ind w:left="520" w:hanging="512"/>
        <w:spacing w:after="0" w:line="253"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spacing w:after="0" w:line="189" w:lineRule="exact"/>
        <w:rPr>
          <w:rFonts w:ascii="Times New Roman" w:cs="Times New Roman" w:eastAsia="Times New Roman" w:hAnsi="Times New Roman"/>
          <w:sz w:val="18"/>
          <w:szCs w:val="18"/>
          <w:color w:val="auto"/>
        </w:rPr>
      </w:pPr>
    </w:p>
    <w:p>
      <w:pPr>
        <w:jc w:val="both"/>
        <w:ind w:left="520" w:hanging="512"/>
        <w:spacing w:after="0" w:line="255"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alternate Director shall only be a Director for the purposes of the Act and shall only be subject to the provisions of the Act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spacing w:after="0" w:line="188"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acting as an alternate Director shall have one vote for each Director for whom he acts as alternate (in addition to his own vote if he is also a Director). If his appointor is for the time being absent from Hong Kong or otherwise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spacing w:after="0" w:line="179"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ipso facto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DIRECTORS’ FEES AND EXPENSES</w:t>
      </w:r>
    </w:p>
    <w:p>
      <w:pPr>
        <w:spacing w:after="0" w:line="229" w:lineRule="exact"/>
        <w:rPr>
          <w:sz w:val="20"/>
          <w:szCs w:val="20"/>
          <w:color w:val="auto"/>
        </w:rPr>
      </w:pPr>
    </w:p>
    <w:p>
      <w:pPr>
        <w:jc w:val="both"/>
        <w:ind w:left="520" w:hanging="512"/>
        <w:spacing w:after="0" w:line="258"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remuneration of the Directors shall from time to time be determined by the Company in general meeting and shall (unless otherwise directed by the resolution by which it is voted) be divided amongst the Board in such proportions and in such manner as the Board may agree or, failing agreement, equally, except that any Director who shall hold office for part only of the period in respect of which such remuneration is payable shall be entitled only to rank in such division for a proportion of remuneration related to the period during which he has held office. Such remuneration shall be deemed to accrue from day to day.</w:t>
      </w:r>
    </w:p>
    <w:p>
      <w:pPr>
        <w:spacing w:after="0" w:line="18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79"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obtain the approval of the Company in general meeting before making any payment to any Director or past Director of the Company by way of compensation for loss of office, or as consideration for or in connection with his retirement from office (not being payment to which the Director is contractually entitled).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INTERESTS</w:t>
      </w:r>
    </w:p>
    <w:p>
      <w:pPr>
        <w:spacing w:after="0" w:line="229"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w:t>
      </w:r>
    </w:p>
    <w:p>
      <w:pPr>
        <w:spacing w:after="0" w:line="225"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79"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by himself or his firm in a professional capacity for the Company (otherwise than as Auditor) and he or his firm may be remunerated for professional services as if he were not a Director;</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left="1000" w:hanging="493"/>
        <w:spacing w:after="0" w:line="253" w:lineRule="auto"/>
        <w:tabs>
          <w:tab w:leader="none" w:pos="10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favour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spacing w:after="0" w:line="187"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to these Articles, no Director or proposed or intending Director shall be disqualified by his office from contracting with the Company, either with regard to his tenure of any office or place of profit or as vendor, purchaser or in any other manner whatsoever,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99 herein.</w:t>
      </w:r>
    </w:p>
    <w:p>
      <w:pPr>
        <w:spacing w:after="0" w:line="18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179"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a member or officer of a specified company or firm and is to be regarded as interested in any contract or arrangement which may after the date of the Notice be made with that company or firm; or</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1000" w:hanging="493"/>
        <w:spacing w:after="0" w:line="282" w:lineRule="auto"/>
        <w:tabs>
          <w:tab w:leader="none" w:pos="10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to be regarded as interested in any contract or arrangement which may after the date of the Notice be made with a specified person who is connected with him;</w:t>
      </w:r>
    </w:p>
    <w:p>
      <w:pPr>
        <w:spacing w:after="0" w:line="161"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175" w:lineRule="exact"/>
        <w:rPr>
          <w:rFonts w:ascii="Times New Roman" w:cs="Times New Roman" w:eastAsia="Times New Roman" w:hAnsi="Times New Roman"/>
          <w:sz w:val="18"/>
          <w:szCs w:val="18"/>
          <w:color w:val="auto"/>
        </w:rPr>
      </w:pPr>
    </w:p>
    <w:p>
      <w:pPr>
        <w:ind w:left="1000" w:hanging="992"/>
        <w:spacing w:after="0" w:line="266"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Director shall not vote (nor be counted in the quorum) on any resolution of the Board approving any contract or arrangement or any other proposal in which he or any of his close associates is materially interested, but this prohibition shall not apply to any of the following matters namely:</w:t>
      </w:r>
    </w:p>
    <w:p>
      <w:pPr>
        <w:spacing w:after="0" w:line="175"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security or indemnity either:–</w:t>
      </w:r>
    </w:p>
    <w:p>
      <w:pPr>
        <w:spacing w:after="0" w:line="225" w:lineRule="exact"/>
        <w:rPr>
          <w:rFonts w:ascii="Times New Roman" w:cs="Times New Roman" w:eastAsia="Times New Roman" w:hAnsi="Times New Roman"/>
          <w:sz w:val="18"/>
          <w:szCs w:val="18"/>
          <w:color w:val="auto"/>
        </w:rPr>
      </w:pPr>
    </w:p>
    <w:p>
      <w:pPr>
        <w:ind w:left="2040" w:right="20" w:hanging="507"/>
        <w:spacing w:after="0" w:line="282" w:lineRule="auto"/>
        <w:tabs>
          <w:tab w:leader="none" w:pos="2040"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Director or his close associate(s) in respect of money lent or obligations incurred or undertaken by him or any of them at the request of or for the benefit of the Company or any of its subsidiaries; or</w:t>
      </w:r>
    </w:p>
    <w:p>
      <w:pPr>
        <w:spacing w:after="0" w:line="161" w:lineRule="exact"/>
        <w:rPr>
          <w:rFonts w:ascii="Times New Roman" w:cs="Times New Roman" w:eastAsia="Times New Roman" w:hAnsi="Times New Roman"/>
          <w:sz w:val="18"/>
          <w:szCs w:val="18"/>
          <w:color w:val="auto"/>
        </w:rPr>
      </w:pPr>
    </w:p>
    <w:p>
      <w:pPr>
        <w:jc w:val="both"/>
        <w:ind w:left="2040" w:hanging="507"/>
        <w:spacing w:after="0" w:line="266" w:lineRule="auto"/>
        <w:tabs>
          <w:tab w:leader="none" w:pos="2040"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third party in respect of a debt or obligation of the Company or any of its subsidiaries for which the Director or his close associate(s) has himself/ themselves assumed responsibility in whole or in part and whether alone or jointly under a guarantee or indemnity or by the giving of security;</w:t>
      </w:r>
    </w:p>
    <w:p>
      <w:pPr>
        <w:spacing w:after="0" w:line="176" w:lineRule="exact"/>
        <w:rPr>
          <w:sz w:val="20"/>
          <w:szCs w:val="20"/>
          <w:color w:val="auto"/>
        </w:rPr>
      </w:pPr>
    </w:p>
    <w:p>
      <w:pPr>
        <w:jc w:val="both"/>
        <w:ind w:left="1540" w:hanging="520"/>
        <w:spacing w:after="0" w:line="26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concerning an offer of shares or debentures or other securities of or by the Company or any other company which the Company may promote or be interested in for subscription or purchase where the Director or his close associate(s) is/are or is/are to be interested as a participant in the underwriting or sub-underwriting of the offer;</w:t>
      </w:r>
    </w:p>
    <w:p>
      <w:pPr>
        <w:spacing w:after="0" w:line="175" w:lineRule="exact"/>
        <w:rPr>
          <w:rFonts w:ascii="Times New Roman" w:cs="Times New Roman" w:eastAsia="Times New Roman" w:hAnsi="Times New Roman"/>
          <w:sz w:val="18"/>
          <w:szCs w:val="18"/>
          <w:color w:val="auto"/>
        </w:rPr>
      </w:pPr>
    </w:p>
    <w:p>
      <w:pPr>
        <w:ind w:left="1540" w:hanging="520"/>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or arrangement concerning the benefit of employees of the Company or its subsidiaries including:</w:t>
      </w:r>
    </w:p>
    <w:p>
      <w:pPr>
        <w:spacing w:after="0" w:line="225" w:lineRule="exact"/>
        <w:rPr>
          <w:rFonts w:ascii="Times New Roman" w:cs="Times New Roman" w:eastAsia="Times New Roman" w:hAnsi="Times New Roman"/>
          <w:sz w:val="18"/>
          <w:szCs w:val="18"/>
          <w:color w:val="auto"/>
        </w:rPr>
      </w:pPr>
    </w:p>
    <w:p>
      <w:pPr>
        <w:ind w:left="2040" w:hanging="507"/>
        <w:spacing w:after="0" w:line="282" w:lineRule="auto"/>
        <w:tabs>
          <w:tab w:leader="none" w:pos="2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modification or operation of any employees’ share scheme or any share incentive or share option scheme under which the Director or his close associate(s) may benefit; or</w:t>
      </w:r>
    </w:p>
    <w:p>
      <w:pPr>
        <w:spacing w:after="0" w:line="161" w:lineRule="exact"/>
        <w:rPr>
          <w:rFonts w:ascii="Times New Roman" w:cs="Times New Roman" w:eastAsia="Times New Roman" w:hAnsi="Times New Roman"/>
          <w:sz w:val="18"/>
          <w:szCs w:val="18"/>
          <w:color w:val="auto"/>
        </w:rPr>
      </w:pPr>
    </w:p>
    <w:p>
      <w:pPr>
        <w:jc w:val="both"/>
        <w:ind w:left="2040" w:hanging="507"/>
        <w:spacing w:after="0" w:line="261" w:lineRule="auto"/>
        <w:tabs>
          <w:tab w:leader="none" w:pos="20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modification or operation of a pension fund or retirement, death or disability benefits scheme which relates to the Director, his close associate(s) and employee(s) of the Company or any of its subsidiaries and does not provide in respect of any Director, or his close associate(s), as such any privilege or advantage not generally accorded to the class of persons to which such scheme or fund relates;</w:t>
      </w:r>
    </w:p>
    <w:p>
      <w:pPr>
        <w:spacing w:after="0" w:line="179" w:lineRule="exact"/>
        <w:rPr>
          <w:rFonts w:ascii="Times New Roman" w:cs="Times New Roman" w:eastAsia="Times New Roman" w:hAnsi="Times New Roman"/>
          <w:sz w:val="18"/>
          <w:szCs w:val="18"/>
          <w:color w:val="auto"/>
        </w:rPr>
      </w:pPr>
    </w:p>
    <w:p>
      <w:pPr>
        <w:jc w:val="both"/>
        <w:ind w:left="1540" w:hanging="520"/>
        <w:spacing w:after="0" w:line="26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arrangement in which the Director or his close associate(s) is/ are interested in the same manner as other holders of shares or debentures or other securities of the Company by virtue only of his/their interest in shares or debentures or other securities of the Company.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1000" w:hanging="493"/>
        <w:spacing w:after="0" w:line="254"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question shall arise at any meeting of the Board as to the materiality of the interest of a Director (other than the chairman of the meeting) or as to the entitlement of any Director (other than such chairman) to vote and such question is not resolved by his voluntarily agreeing to abstain from voting, such question shall be referred to the chairman of the meeting and his ruling in relation to such other Director shall be final and conclusive except in a case where the nature or extent of the interest of the Director concerned as known to such Director has not been fairly disclosed to the Board. If any question as aforesaid shall arise in respect of the chairman of the meeting such question shall be decided by a resolution of the Board (for which purpose such chairman shall not vote thereon) and such resolution shall be final and conclusive except in a case where the nature or extent of the interest of such chairman as known to such chairman has not been fairly disclosed to the Board.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GENERAL POWERS OF THE DIRECTORS</w:t>
      </w:r>
    </w:p>
    <w:p>
      <w:pPr>
        <w:spacing w:after="0" w:line="229" w:lineRule="exact"/>
        <w:rPr>
          <w:sz w:val="20"/>
          <w:szCs w:val="20"/>
          <w:color w:val="auto"/>
        </w:rPr>
      </w:pPr>
    </w:p>
    <w:p>
      <w:pPr>
        <w:ind w:left="1000" w:hanging="992"/>
        <w:spacing w:after="0" w:line="255"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spacing w:after="0" w:line="188"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contracting or dealing with the Company in the ordinary course of business shall be entitled to rely on any written or oral contract or agreement or deed, document or instrument entered into or executed as the case may be by any two of the Directors acting jointly on behalf of the Company and the same shall be deemed to be validly entered into or executed by the Company as the case may be and shall, subject to any rule of law, be binding on the Company.</w:t>
      </w:r>
    </w:p>
    <w:p>
      <w:pPr>
        <w:spacing w:after="0" w:line="179"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 powers conferred by these Articles it is hereby expressly declared that the Board shall have the following powers:</w:t>
      </w:r>
    </w:p>
    <w:p>
      <w:pPr>
        <w:spacing w:after="0" w:line="161" w:lineRule="exact"/>
        <w:rPr>
          <w:rFonts w:ascii="Times New Roman" w:cs="Times New Roman" w:eastAsia="Times New Roman" w:hAnsi="Times New Roman"/>
          <w:sz w:val="18"/>
          <w:szCs w:val="18"/>
          <w:color w:val="auto"/>
        </w:rPr>
      </w:pPr>
    </w:p>
    <w:p>
      <w:pPr>
        <w:ind w:left="1340" w:hanging="347"/>
        <w:spacing w:after="0" w:line="282" w:lineRule="auto"/>
        <w:tabs>
          <w:tab w:leader="none" w:pos="1340" w:val="left"/>
        </w:tabs>
        <w:numPr>
          <w:ilvl w:val="2"/>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give to any person the right or option of requiring at a future date that an allotment shall be made to him of any share at par or at such premium as may be agreed;</w:t>
      </w:r>
    </w:p>
    <w:p>
      <w:pPr>
        <w:spacing w:after="0" w:line="161" w:lineRule="exact"/>
        <w:rPr>
          <w:rFonts w:ascii="Times New Roman" w:cs="Times New Roman" w:eastAsia="Times New Roman" w:hAnsi="Times New Roman"/>
          <w:sz w:val="18"/>
          <w:szCs w:val="18"/>
          <w:color w:val="231F20"/>
        </w:rPr>
      </w:pPr>
    </w:p>
    <w:p>
      <w:pPr>
        <w:ind w:left="1340" w:hanging="347"/>
        <w:spacing w:after="0" w:line="282" w:lineRule="auto"/>
        <w:tabs>
          <w:tab w:leader="none" w:pos="1340" w:val="left"/>
        </w:tabs>
        <w:numPr>
          <w:ilvl w:val="2"/>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give to any Directors, officers or servants of the Company an interest in any particular business or transaction or participation in the profits thereof or in the general profits of the Company either in addition to or in substitution for a salary or other remuneration; and</w:t>
      </w:r>
    </w:p>
    <w:p>
      <w:pPr>
        <w:spacing w:after="0" w:line="161" w:lineRule="exact"/>
        <w:rPr>
          <w:rFonts w:ascii="Times New Roman" w:cs="Times New Roman" w:eastAsia="Times New Roman" w:hAnsi="Times New Roman"/>
          <w:sz w:val="18"/>
          <w:szCs w:val="18"/>
          <w:color w:val="231F20"/>
        </w:rPr>
      </w:pPr>
    </w:p>
    <w:p>
      <w:pPr>
        <w:ind w:left="1340" w:hanging="347"/>
        <w:spacing w:after="0" w:line="282" w:lineRule="auto"/>
        <w:tabs>
          <w:tab w:leader="none" w:pos="1340" w:val="left"/>
        </w:tabs>
        <w:numPr>
          <w:ilvl w:val="2"/>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resolve that the Company be deregistered in the Cayman Islands and continued in a named jurisdiction outside the Cayman Islands subject to the provisions of the Act.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000" w:hanging="493"/>
        <w:spacing w:after="0" w:line="282" w:lineRule="auto"/>
        <w:tabs>
          <w:tab w:leader="none" w:pos="10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make any loan, directly or indirectly, to a Director or his close associate(s) if and to the extent it would be prohibited by the Companies Ordinance (Chapter 622 of the laws of Hong Kong) as if the Company were a company incorporated in Hong Kong.</w:t>
      </w:r>
    </w:p>
    <w:p>
      <w:pPr>
        <w:spacing w:after="0" w:line="16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101(4) shall only have effect for so long as the shares of the Company are listed on The Stock Exchange of Hong Kong Limited.</w:t>
      </w:r>
    </w:p>
    <w:p>
      <w:pPr>
        <w:spacing w:after="0" w:line="225" w:lineRule="exact"/>
        <w:rPr>
          <w:rFonts w:ascii="Times New Roman" w:cs="Times New Roman" w:eastAsia="Times New Roman" w:hAnsi="Times New Roman"/>
          <w:sz w:val="18"/>
          <w:szCs w:val="18"/>
          <w:color w:val="auto"/>
        </w:rPr>
      </w:pPr>
    </w:p>
    <w:p>
      <w:pPr>
        <w:jc w:val="both"/>
        <w:ind w:left="640" w:hanging="632"/>
        <w:spacing w:after="0" w:line="254" w:lineRule="auto"/>
        <w:tabs>
          <w:tab w:leader="none" w:pos="64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establish any regional or local boards or agencies for managing any of the affairs of the Company in any place, and may appoint any persons to be members of such local boards, or any managers or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188" w:lineRule="exact"/>
        <w:rPr>
          <w:rFonts w:ascii="Times New Roman" w:cs="Times New Roman" w:eastAsia="Times New Roman" w:hAnsi="Times New Roman"/>
          <w:sz w:val="18"/>
          <w:szCs w:val="18"/>
          <w:color w:val="231F20"/>
        </w:rPr>
      </w:pPr>
    </w:p>
    <w:p>
      <w:pPr>
        <w:jc w:val="both"/>
        <w:ind w:left="640" w:hanging="632"/>
        <w:spacing w:after="0" w:line="255" w:lineRule="auto"/>
        <w:tabs>
          <w:tab w:leader="none" w:pos="64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by power of attorney appoint under the Seal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spacing w:after="0" w:line="188"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entrust to and confer upon a managing director, joint managing director, deputy managing director, an executive director or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179"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160" w:hanging="1152"/>
        <w:spacing w:after="0" w:line="256" w:lineRule="auto"/>
        <w:tabs>
          <w:tab w:leader="none" w:pos="661"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spacing w:after="0" w:line="187" w:lineRule="exact"/>
        <w:rPr>
          <w:sz w:val="20"/>
          <w:szCs w:val="20"/>
          <w:color w:val="auto"/>
        </w:rPr>
      </w:pPr>
    </w:p>
    <w:p>
      <w:pPr>
        <w:jc w:val="both"/>
        <w:ind w:left="1160" w:hanging="504"/>
        <w:spacing w:after="0" w:line="258" w:lineRule="auto"/>
        <w:tabs>
          <w:tab w:leader="none" w:pos="11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pay, enter into agreements to pay or make grants of revocable or irrevocable, and either subject or not subject to any terms or conditions,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BORROWING POWERS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p>
      <w:pPr>
        <w:spacing w:after="0" w:line="17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Debentures, bonds and other securities may be made assignable free from any equities between the Company and the person to whom the same may be issued.</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spacing w:after="0" w:line="175" w:lineRule="exact"/>
        <w:rPr>
          <w:rFonts w:ascii="Times New Roman" w:cs="Times New Roman" w:eastAsia="Times New Roman" w:hAnsi="Times New Roman"/>
          <w:sz w:val="18"/>
          <w:szCs w:val="18"/>
          <w:color w:val="231F20"/>
        </w:rPr>
      </w:pPr>
    </w:p>
    <w:p>
      <w:pPr>
        <w:ind w:left="1160" w:hanging="1152"/>
        <w:spacing w:after="0" w:line="282" w:lineRule="auto"/>
        <w:tabs>
          <w:tab w:leader="none" w:pos="661"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Where any uncalled capital of the Company is charged, all persons taking any subsequent charge thereon shall take the same subject to such prior charge, and shall not be entitled, by notice to the Members or otherwise, to obtain priority over such prior charge.</w:t>
      </w:r>
    </w:p>
    <w:p>
      <w:pPr>
        <w:spacing w:after="0" w:line="161"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231F20"/>
        </w:rPr>
        <w:t>PROCEEDINGS OF THE DIRECTORS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meet for the despatch of business, adjourn and otherwise regulate its meetings as it considers appropriate. Questions arising at any meeting shall be determined by a majority of votes. In the case of any equality of votes the chairman of the meeting shall have an additional or casting vote.</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meeting of the Board may be convened by the Secretary on request of a Director or by any Director. The Secretary shall convene a meeting of the Board whenever he shall be required so to do by any Director. Notice of a meeting of the Board shall be deemed to be duly given to a Director if it is given to such Director in writing or verbally (including in person or by telephone) or via electronic mail or by telephone or in such other manner as the Board may from time to time determine.</w:t>
      </w:r>
    </w:p>
    <w:p>
      <w:pPr>
        <w:spacing w:after="0" w:line="179" w:lineRule="exact"/>
        <w:rPr>
          <w:rFonts w:ascii="Times New Roman" w:cs="Times New Roman" w:eastAsia="Times New Roman" w:hAnsi="Times New Roman"/>
          <w:sz w:val="18"/>
          <w:szCs w:val="18"/>
          <w:color w:val="231F20"/>
        </w:rPr>
      </w:pPr>
    </w:p>
    <w:p>
      <w:pPr>
        <w:ind w:left="1160" w:hanging="1152"/>
        <w:spacing w:after="0" w:line="266" w:lineRule="auto"/>
        <w:tabs>
          <w:tab w:leader="none" w:pos="661"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quorum necessary for the transaction of the business of the Board may be fixed by the Board and, unless so fixed at any other number, shall be two (2). An alternate Director shall be counted in a quorum in the case of the absence of a Director for whom he is the alternate provided that he shall not be counted more than once for the purpose of determining whether or not a quorum is present.</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Directors may participate in any meeting of the Board by means of a conference telephone, electronic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spacing w:after="0" w:line="175" w:lineRule="exact"/>
        <w:rPr>
          <w:rFonts w:ascii="Times New Roman" w:cs="Times New Roman" w:eastAsia="Times New Roman" w:hAnsi="Times New Roman"/>
          <w:sz w:val="18"/>
          <w:szCs w:val="18"/>
          <w:color w:val="231F20"/>
        </w:rPr>
      </w:pPr>
    </w:p>
    <w:p>
      <w:pPr>
        <w:jc w:val="both"/>
        <w:ind w:left="1160" w:right="20" w:hanging="504"/>
        <w:spacing w:after="0" w:line="266" w:lineRule="auto"/>
        <w:tabs>
          <w:tab w:leader="none" w:pos="116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continuing Directors or a sole continuing Director may act notwithstanding any vacancy in the Board but, if and so long as the number of Directors is reduced below the minimum number fixed by or in accordance with these Articles,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183"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elect one or more chairman and one or more deputy chairman of its meetings and determine the period for which they are respectively to hold such office. If no chairman or deputy chairman is elected, or if at any meeting no chairman or deputy chairman is present within five (5) minutes after the time appointed for holding the same, the Directors present may choose one of their number to be chairman of the meeting.</w:t>
      </w:r>
    </w:p>
    <w:p>
      <w:pPr>
        <w:spacing w:after="0" w:line="179"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meeting of the Board at which a quorum is present shall be competent to exercise all the powers, authorities and discretions for the time being vested in or exercisable by the Board.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1160" w:hanging="1152"/>
        <w:spacing w:after="0" w:line="261" w:lineRule="auto"/>
        <w:tabs>
          <w:tab w:leader="none" w:pos="661"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Board may delegate any of its powers, authorities and discretions to committees,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spacing w:after="0" w:line="179" w:lineRule="exact"/>
        <w:rPr>
          <w:rFonts w:ascii="Times New Roman" w:cs="Times New Roman" w:eastAsia="Times New Roman" w:hAnsi="Times New Roman"/>
          <w:sz w:val="18"/>
          <w:szCs w:val="18"/>
          <w:color w:val="231F20"/>
        </w:rPr>
      </w:pPr>
    </w:p>
    <w:p>
      <w:pPr>
        <w:jc w:val="both"/>
        <w:ind w:left="1160" w:hanging="504"/>
        <w:spacing w:after="0" w:line="289" w:lineRule="auto"/>
        <w:tabs>
          <w:tab w:leader="none" w:pos="1160" w:val="left"/>
        </w:tabs>
        <w:numPr>
          <w:ilvl w:val="1"/>
          <w:numId w:val="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acts done by any such committee in conformity with such regulations, and in fulfilment of the purposes for which it was appointed, but not otherwise, shall have like force and effect as if done by the Board, and the Board shall have power, with the consent of the Company in general meeting, to remunerate the members of any such committee, and charge such remuneration to the current expenses of the Company.</w:t>
      </w:r>
    </w:p>
    <w:p>
      <w:pPr>
        <w:spacing w:after="0" w:line="157" w:lineRule="exact"/>
        <w:rPr>
          <w:rFonts w:ascii="Times New Roman" w:cs="Times New Roman" w:eastAsia="Times New Roman" w:hAnsi="Times New Roman"/>
          <w:sz w:val="17"/>
          <w:szCs w:val="17"/>
          <w:color w:val="231F20"/>
        </w:rPr>
      </w:pPr>
    </w:p>
    <w:p>
      <w:pPr>
        <w:jc w:val="both"/>
        <w:ind w:left="640" w:hanging="632"/>
        <w:spacing w:after="0" w:line="266" w:lineRule="auto"/>
        <w:tabs>
          <w:tab w:leader="none" w:pos="64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54" w:lineRule="auto"/>
        <w:tabs>
          <w:tab w:leader="none" w:pos="64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resolution in writing signed by all the Directors except such as are temporarily unable to act through ill-health or disability, and all the alternate Directors, if appropriate, whose appointors are temporarily unable to act as aforesaid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or alternate Directors and for this purpose a facsimile signature of a Director or an alternate Director shall be treated as valid. Notwithstanding the foregoing, a resolution in writing shall not be passed in lieu of a meeting of the Board for the purposes of considering any matter or business in which a substantial shareholder of the Company or a Director has a conflict of interest and the Board has determined that such conflict of interest to be material.</w:t>
      </w:r>
    </w:p>
    <w:p>
      <w:pPr>
        <w:spacing w:after="0" w:line="188"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231F20"/>
        </w:rPr>
        <w:t>MANAGERS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from time to time appoint a general manager, a manager or managers of the Company and may fix his or their remuneration either by way of salary or commission or by conferring the right to participation in the profits of the Company or by a combination of two or more of these modes and pay the working expenses of any of the staff of the general manager, manager or managers who may be employed by him or them upon the business of the Company.</w:t>
      </w:r>
    </w:p>
    <w:p>
      <w:pPr>
        <w:spacing w:after="0" w:line="179"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appointment of such general manager, manager or managers may be for such period as the Board may decide, and the Board may confer upon him or them all or any of the powers of the Board as they may think fit.</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enter into such agreement or agreements with any such general manager, manager or managers upon such terms and conditions in all respects as the Board may in their absolute discretion think fit, including a power for such general manager, manager or managers to appoint an assistant manager or managers or other employees whatsoever under them for the purpose of carrying on the business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OFFICERS</w:t>
      </w:r>
    </w:p>
    <w:p>
      <w:pPr>
        <w:spacing w:after="0" w:line="229" w:lineRule="exact"/>
        <w:rPr>
          <w:sz w:val="20"/>
          <w:szCs w:val="20"/>
          <w:color w:val="auto"/>
        </w:rPr>
      </w:pPr>
    </w:p>
    <w:p>
      <w:pPr>
        <w:ind w:left="1160" w:hanging="1152"/>
        <w:spacing w:after="0" w:line="266" w:lineRule="auto"/>
        <w:tabs>
          <w:tab w:leader="none" w:pos="661"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officers of the Company shall consist of at least one chairman, the Directors and Secretary and such additional officers (who may or may not be Directors) as the Board may from time to time determine, all of whom shall be deemed to be officers for the purposes of the Act and these Articles.</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shall, as soon as may be after each appointment or election of Directors, elect amongst the Directors a chairman and if more than one (1) Director is proposed for this office, the Directors may elect more than one chairman in such manner as the Directors may determine.</w:t>
      </w:r>
    </w:p>
    <w:p>
      <w:pPr>
        <w:spacing w:after="0" w:line="17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officers shall receive such remuneration as the Directors may from time to time determine.</w:t>
      </w:r>
    </w:p>
    <w:p>
      <w:pPr>
        <w:spacing w:after="0" w:line="225" w:lineRule="exact"/>
        <w:rPr>
          <w:rFonts w:ascii="Times New Roman" w:cs="Times New Roman" w:eastAsia="Times New Roman" w:hAnsi="Times New Roman"/>
          <w:sz w:val="18"/>
          <w:szCs w:val="18"/>
          <w:color w:val="231F20"/>
        </w:rPr>
      </w:pPr>
    </w:p>
    <w:p>
      <w:pPr>
        <w:ind w:left="1160" w:hanging="1152"/>
        <w:spacing w:after="0" w:line="266" w:lineRule="auto"/>
        <w:tabs>
          <w:tab w:leader="none" w:pos="661"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Secretary and additional officers, if any, shall be appointed by the Board and shall hold office on such terms and for such period as the Board may determine. If thought fit, two (2) or more persons may be appointed as joint Secretaries. The Board may also appoint from time to time on such terms as it thinks fit one or more assistant or deputy Secretaries.</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Secretary shall attend all meetings of the Members and shall keep correct minutes of such meetings and enter the same in the proper books provided for the purpose. He shall perform such other duties as are prescribed by the Act or these Articles or as may be prescribed by the Board.</w:t>
      </w:r>
    </w:p>
    <w:p>
      <w:pPr>
        <w:spacing w:after="0" w:line="175"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officers of the Company shall have such powers and perform such duties in the management, business and affairs of the Company as may be delegated to them by the Directors from time to time.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640" w:hanging="632"/>
        <w:spacing w:after="0" w:line="282" w:lineRule="auto"/>
        <w:tabs>
          <w:tab w:leader="none" w:pos="64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of the Act or of these Articles requiring or authorising a thing to be done by or to a Director and the Secretary shall not be satisfied by its being done by or to the same person acting both as Director and as or in place of the Secretary.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REGISTER OF DIRECTORS AND OFFICERS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MINUTES</w:t>
      </w:r>
    </w:p>
    <w:p>
      <w:pPr>
        <w:spacing w:after="0" w:line="229"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Board shall cause minutes to be duly entered in books provided for the purpose:</w:t>
      </w:r>
    </w:p>
    <w:p>
      <w:pPr>
        <w:spacing w:after="0" w:line="225" w:lineRule="exact"/>
        <w:rPr>
          <w:rFonts w:ascii="Times New Roman" w:cs="Times New Roman" w:eastAsia="Times New Roman" w:hAnsi="Times New Roman"/>
          <w:sz w:val="18"/>
          <w:szCs w:val="18"/>
          <w:color w:val="231F20"/>
        </w:rPr>
      </w:pPr>
    </w:p>
    <w:p>
      <w:pPr>
        <w:ind w:left="1520" w:hanging="351"/>
        <w:spacing w:after="0"/>
        <w:tabs>
          <w:tab w:leader="none" w:pos="1520" w:val="left"/>
        </w:tabs>
        <w:numPr>
          <w:ilvl w:val="2"/>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all elections and appointments of officers;</w:t>
      </w:r>
    </w:p>
    <w:p>
      <w:pPr>
        <w:spacing w:after="0" w:line="225" w:lineRule="exact"/>
        <w:rPr>
          <w:rFonts w:ascii="Times New Roman" w:cs="Times New Roman" w:eastAsia="Times New Roman" w:hAnsi="Times New Roman"/>
          <w:sz w:val="18"/>
          <w:szCs w:val="18"/>
          <w:color w:val="231F20"/>
        </w:rPr>
      </w:pPr>
    </w:p>
    <w:p>
      <w:pPr>
        <w:ind w:left="1520" w:hanging="351"/>
        <w:spacing w:after="0"/>
        <w:tabs>
          <w:tab w:leader="none" w:pos="1520" w:val="left"/>
        </w:tabs>
        <w:numPr>
          <w:ilvl w:val="2"/>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the names of the Directors present at each meeting of the Directors and of any committee of the Directors;</w:t>
      </w:r>
    </w:p>
    <w:p>
      <w:pPr>
        <w:spacing w:after="0" w:line="225" w:lineRule="exact"/>
        <w:rPr>
          <w:rFonts w:ascii="Times New Roman" w:cs="Times New Roman" w:eastAsia="Times New Roman" w:hAnsi="Times New Roman"/>
          <w:sz w:val="18"/>
          <w:szCs w:val="18"/>
          <w:color w:val="231F20"/>
        </w:rPr>
      </w:pPr>
    </w:p>
    <w:p>
      <w:pPr>
        <w:ind w:left="1520" w:hanging="351"/>
        <w:spacing w:after="0" w:line="282" w:lineRule="auto"/>
        <w:tabs>
          <w:tab w:leader="none" w:pos="1520" w:val="left"/>
        </w:tabs>
        <w:numPr>
          <w:ilvl w:val="2"/>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all resolutions and proceedings of each general meeting of the Members, meetings of the Board and meetings of committees of the Board and where there are managers, of all proceedings of meetings of the managers.</w:t>
      </w:r>
    </w:p>
    <w:p>
      <w:pPr>
        <w:spacing w:after="0" w:line="161"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Minutes shall be kept by the Secretary at the head office.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SEAL</w:t>
      </w:r>
    </w:p>
    <w:p>
      <w:pPr>
        <w:spacing w:after="0" w:line="229" w:lineRule="exact"/>
        <w:rPr>
          <w:sz w:val="20"/>
          <w:szCs w:val="20"/>
          <w:color w:val="auto"/>
        </w:rPr>
      </w:pPr>
    </w:p>
    <w:p>
      <w:pPr>
        <w:ind w:left="1160" w:hanging="1152"/>
        <w:spacing w:after="0" w:line="253" w:lineRule="auto"/>
        <w:tabs>
          <w:tab w:leader="none" w:pos="661"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and the Secretary or by two Directors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shall be deemed to be sealed and executed with the authority of the Board previously given.</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1160" w:hanging="504"/>
        <w:spacing w:after="0" w:line="261" w:lineRule="auto"/>
        <w:tabs>
          <w:tab w:leader="none" w:pos="116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AUTHENTICATION OF DOCUMENTS</w:t>
      </w:r>
    </w:p>
    <w:p>
      <w:pPr>
        <w:spacing w:after="0" w:line="229" w:lineRule="exact"/>
        <w:rPr>
          <w:sz w:val="20"/>
          <w:szCs w:val="20"/>
          <w:color w:val="auto"/>
        </w:rPr>
      </w:pPr>
    </w:p>
    <w:p>
      <w:pPr>
        <w:jc w:val="both"/>
        <w:ind w:left="640" w:hanging="632"/>
        <w:spacing w:after="0" w:line="254" w:lineRule="auto"/>
        <w:tabs>
          <w:tab w:leader="none" w:pos="64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DESTRUCTION OF DOCUMENTS</w:t>
      </w:r>
    </w:p>
    <w:p>
      <w:pPr>
        <w:spacing w:after="0" w:line="229"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Company shall be entitled to destroy the following documents at the following times:</w:t>
      </w:r>
    </w:p>
    <w:p>
      <w:pPr>
        <w:spacing w:after="0" w:line="225" w:lineRule="exact"/>
        <w:rPr>
          <w:rFonts w:ascii="Times New Roman" w:cs="Times New Roman" w:eastAsia="Times New Roman" w:hAnsi="Times New Roman"/>
          <w:sz w:val="18"/>
          <w:szCs w:val="18"/>
          <w:color w:val="231F20"/>
        </w:rPr>
      </w:pPr>
    </w:p>
    <w:p>
      <w:pPr>
        <w:ind w:left="1520" w:hanging="351"/>
        <w:spacing w:after="0"/>
        <w:tabs>
          <w:tab w:leader="none" w:pos="1520" w:val="left"/>
        </w:tabs>
        <w:numPr>
          <w:ilvl w:val="1"/>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share certificate which has been cancelled at any time after the expiry of one (1) year from the date of such cancellation;</w:t>
      </w:r>
    </w:p>
    <w:p>
      <w:pPr>
        <w:spacing w:after="0" w:line="225" w:lineRule="exact"/>
        <w:rPr>
          <w:rFonts w:ascii="Times New Roman" w:cs="Times New Roman" w:eastAsia="Times New Roman" w:hAnsi="Times New Roman"/>
          <w:sz w:val="18"/>
          <w:szCs w:val="18"/>
          <w:color w:val="231F20"/>
        </w:rPr>
      </w:pPr>
    </w:p>
    <w:p>
      <w:pPr>
        <w:ind w:left="1520" w:right="20" w:hanging="351"/>
        <w:spacing w:after="0" w:line="282" w:lineRule="auto"/>
        <w:tabs>
          <w:tab w:leader="none" w:pos="1520" w:val="left"/>
        </w:tabs>
        <w:numPr>
          <w:ilvl w:val="1"/>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61" w:lineRule="exact"/>
        <w:rPr>
          <w:rFonts w:ascii="Times New Roman" w:cs="Times New Roman" w:eastAsia="Times New Roman" w:hAnsi="Times New Roman"/>
          <w:sz w:val="18"/>
          <w:szCs w:val="18"/>
          <w:color w:val="231F20"/>
        </w:rPr>
      </w:pPr>
    </w:p>
    <w:p>
      <w:pPr>
        <w:ind w:left="1520" w:right="20" w:hanging="351"/>
        <w:spacing w:after="0" w:line="282" w:lineRule="auto"/>
        <w:tabs>
          <w:tab w:leader="none" w:pos="1520" w:val="left"/>
        </w:tabs>
        <w:numPr>
          <w:ilvl w:val="1"/>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instrument of transfer of shares which has been registered at any time after the expiry of seven (7) years from the date of registration;</w:t>
      </w:r>
    </w:p>
    <w:p>
      <w:pPr>
        <w:spacing w:after="0" w:line="161" w:lineRule="exact"/>
        <w:rPr>
          <w:rFonts w:ascii="Times New Roman" w:cs="Times New Roman" w:eastAsia="Times New Roman" w:hAnsi="Times New Roman"/>
          <w:sz w:val="18"/>
          <w:szCs w:val="18"/>
          <w:color w:val="231F20"/>
        </w:rPr>
      </w:pPr>
    </w:p>
    <w:p>
      <w:pPr>
        <w:ind w:left="1520" w:hanging="351"/>
        <w:spacing w:after="0"/>
        <w:tabs>
          <w:tab w:leader="none" w:pos="1520" w:val="left"/>
        </w:tabs>
        <w:numPr>
          <w:ilvl w:val="1"/>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allotment letters after the expiry of seven (7) years from the date of issue thereof; and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1520" w:right="20" w:hanging="351"/>
        <w:spacing w:after="0" w:line="282" w:lineRule="auto"/>
        <w:tabs>
          <w:tab w:leader="none" w:pos="1520" w:val="left"/>
        </w:tabs>
        <w:numPr>
          <w:ilvl w:val="1"/>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161" w:lineRule="exact"/>
        <w:rPr>
          <w:rFonts w:ascii="Times New Roman" w:cs="Times New Roman" w:eastAsia="Times New Roman" w:hAnsi="Times New Roman"/>
          <w:sz w:val="18"/>
          <w:szCs w:val="18"/>
          <w:color w:val="231F20"/>
        </w:rPr>
      </w:pPr>
    </w:p>
    <w:p>
      <w:pPr>
        <w:jc w:val="both"/>
        <w:ind w:left="1520"/>
        <w:spacing w:after="0" w:line="254"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this Article shall apply only to the destruction of a document in good faith and without express notice to the Company that the preservation of such document was relevant to a claim; (2) nothing contained in this Article shall be construed as imposing upon the Company any liability in respect of the destruction of any such document earlier than as aforesaid or in any case where the conditions of proviso (1) above are not fulfilled; and (3) references in this Article to the destruction of any document include references to its disposal in any manner.</w:t>
      </w:r>
    </w:p>
    <w:p>
      <w:pPr>
        <w:spacing w:after="0" w:line="188" w:lineRule="exact"/>
        <w:rPr>
          <w:rFonts w:ascii="Times New Roman" w:cs="Times New Roman" w:eastAsia="Times New Roman" w:hAnsi="Times New Roman"/>
          <w:sz w:val="18"/>
          <w:szCs w:val="18"/>
          <w:color w:val="231F20"/>
        </w:rPr>
      </w:pPr>
    </w:p>
    <w:p>
      <w:pPr>
        <w:jc w:val="both"/>
        <w:ind w:left="1160" w:hanging="504"/>
        <w:spacing w:after="0" w:line="258" w:lineRule="auto"/>
        <w:tabs>
          <w:tab w:leader="none" w:pos="116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Notwithstanding any provision contained in these Articles, the Directors may, if permitted by applicable law, authorise the destruction of documents set out in sub-paragraphs (a) to (e) of paragraph (1) of this Article and any other documents in relation to share registration which have been microfilmed or electronically stored by the Company or by the share registrar on its behalf provided always that this Article shall apply only to the destruction of a document in good faith and without express notice to the Company and its share registrar that the preservation of such document was relevant to a claim.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DIVIDENDS AND OTHER PAYMENTS</w:t>
      </w:r>
    </w:p>
    <w:p>
      <w:pPr>
        <w:spacing w:after="0" w:line="229" w:lineRule="exact"/>
        <w:rPr>
          <w:sz w:val="20"/>
          <w:szCs w:val="20"/>
          <w:color w:val="auto"/>
        </w:rPr>
      </w:pPr>
    </w:p>
    <w:p>
      <w:pPr>
        <w:ind w:left="640" w:hanging="632"/>
        <w:spacing w:after="0" w:line="282" w:lineRule="auto"/>
        <w:tabs>
          <w:tab w:leader="none" w:pos="64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Act, the Company in general meeting may from time to time declare dividends in any currency to be paid to the Members but no dividend shall be declared in excess of the amount recommended by the Board.</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Dividends may be declared and paid out of the profits of the Company, realised or unrealised, or from any reserve set aside from profits which the Directors determine is no longer needed. With the sanction of an ordinary resolution dividends may also be declared and paid out of share premium account or any other fund or account which can be authorised for this purpose in accordance with the Act.</w:t>
      </w:r>
    </w:p>
    <w:p>
      <w:pPr>
        <w:spacing w:after="0" w:line="17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Except in so far as the rights attaching to, or the terms of issue of, any share otherwise provide:</w:t>
      </w:r>
    </w:p>
    <w:p>
      <w:pPr>
        <w:spacing w:after="0" w:line="225"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dividends shall be declared and paid according to the amounts paid up on the shares in respect of which the dividend is paid, but no amount paid up on a share in advance of calls shall be treated for the purposes of this Article as paid up on the share; and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160" w:hanging="504"/>
        <w:spacing w:after="0" w:line="282" w:lineRule="auto"/>
        <w:tabs>
          <w:tab w:leader="none" w:pos="1160" w:val="left"/>
        </w:tabs>
        <w:numPr>
          <w:ilvl w:val="1"/>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dividends shall be apportioned and paid pro rata according to the amounts paid up on the shares during any portion or portions of the period in respect of which the dividend is paid.</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54" w:lineRule="auto"/>
        <w:tabs>
          <w:tab w:leader="none" w:pos="64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spacing w:after="0" w:line="191"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deduct from any dividend or other moneys payable to a Member by the Company on or in respect of any shares all sums of money (if any) presently payable by him to the Company on account of calls or otherwise.</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dividend or other moneys payable by the Company on or in respect of any share shall bear interest against the Company.</w:t>
      </w:r>
    </w:p>
    <w:p>
      <w:pPr>
        <w:spacing w:after="0" w:line="225" w:lineRule="exact"/>
        <w:rPr>
          <w:rFonts w:ascii="Times New Roman" w:cs="Times New Roman" w:eastAsia="Times New Roman" w:hAnsi="Times New Roman"/>
          <w:sz w:val="18"/>
          <w:szCs w:val="18"/>
          <w:color w:val="231F20"/>
        </w:rPr>
      </w:pPr>
    </w:p>
    <w:p>
      <w:pPr>
        <w:jc w:val="both"/>
        <w:ind w:left="640" w:hanging="632"/>
        <w:spacing w:after="0" w:line="253" w:lineRule="auto"/>
        <w:tabs>
          <w:tab w:leader="none" w:pos="64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 For the avoidance of doubt, any dividend, interest or other sum payable in cash may also be paid by electronic funds transfer on such terms and conditions as the Directors may determine.</w:t>
      </w:r>
    </w:p>
    <w:p>
      <w:pPr>
        <w:spacing w:after="0" w:line="194"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640" w:hanging="632"/>
        <w:spacing w:after="0" w:line="253" w:lineRule="auto"/>
        <w:tabs>
          <w:tab w:leader="none" w:pos="64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Whenever the Board or the Company in general meeting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p>
      <w:pPr>
        <w:spacing w:after="0" w:line="187" w:lineRule="exact"/>
        <w:rPr>
          <w:rFonts w:ascii="Times New Roman" w:cs="Times New Roman" w:eastAsia="Times New Roman" w:hAnsi="Times New Roman"/>
          <w:sz w:val="18"/>
          <w:szCs w:val="18"/>
          <w:color w:val="231F20"/>
        </w:rPr>
      </w:pPr>
    </w:p>
    <w:p>
      <w:pPr>
        <w:ind w:left="860" w:right="20" w:hanging="852"/>
        <w:spacing w:after="0" w:line="282" w:lineRule="auto"/>
        <w:tabs>
          <w:tab w:leader="none" w:pos="644"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(1)Whenever the Board or the Company in general meeting has resolved that a dividend be paid or declared on any class of the share capital of the Company, the Board may further resolve either:</w:t>
      </w:r>
    </w:p>
    <w:p>
      <w:pPr>
        <w:spacing w:after="0" w:line="161" w:lineRule="exact"/>
        <w:rPr>
          <w:rFonts w:ascii="Times New Roman" w:cs="Times New Roman" w:eastAsia="Times New Roman" w:hAnsi="Times New Roman"/>
          <w:sz w:val="18"/>
          <w:szCs w:val="18"/>
          <w:color w:val="231F20"/>
        </w:rPr>
      </w:pPr>
    </w:p>
    <w:p>
      <w:pPr>
        <w:jc w:val="both"/>
        <w:ind w:left="1580" w:hanging="546"/>
        <w:spacing w:after="0" w:line="266" w:lineRule="auto"/>
        <w:tabs>
          <w:tab w:leader="none" w:pos="1580" w:val="left"/>
        </w:tabs>
        <w:numPr>
          <w:ilvl w:val="1"/>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p>
      <w:pPr>
        <w:spacing w:after="0" w:line="175" w:lineRule="exact"/>
        <w:rPr>
          <w:rFonts w:ascii="Times New Roman" w:cs="Times New Roman" w:eastAsia="Times New Roman" w:hAnsi="Times New Roman"/>
          <w:sz w:val="18"/>
          <w:szCs w:val="18"/>
          <w:color w:val="231F20"/>
        </w:rPr>
      </w:pPr>
    </w:p>
    <w:p>
      <w:pPr>
        <w:ind w:left="2160" w:hanging="532"/>
        <w:spacing w:after="0"/>
        <w:tabs>
          <w:tab w:leader="none" w:pos="2160" w:val="left"/>
        </w:tabs>
        <w:numPr>
          <w:ilvl w:val="2"/>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basis of any such allotment shall be determined by the Board;</w:t>
      </w:r>
    </w:p>
    <w:p>
      <w:pPr>
        <w:spacing w:after="0" w:line="225" w:lineRule="exact"/>
        <w:rPr>
          <w:rFonts w:ascii="Times New Roman" w:cs="Times New Roman" w:eastAsia="Times New Roman" w:hAnsi="Times New Roman"/>
          <w:sz w:val="18"/>
          <w:szCs w:val="18"/>
          <w:color w:val="231F20"/>
        </w:rPr>
      </w:pPr>
    </w:p>
    <w:p>
      <w:pPr>
        <w:jc w:val="both"/>
        <w:ind w:left="2160" w:hanging="532"/>
        <w:spacing w:after="0" w:line="261" w:lineRule="auto"/>
        <w:tabs>
          <w:tab w:leader="none" w:pos="2160" w:val="left"/>
        </w:tabs>
        <w:numPr>
          <w:ilvl w:val="2"/>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after determining the basis of allotment, shall give not less than two (2) weeks’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79" w:lineRule="exact"/>
        <w:rPr>
          <w:rFonts w:ascii="Times New Roman" w:cs="Times New Roman" w:eastAsia="Times New Roman" w:hAnsi="Times New Roman"/>
          <w:sz w:val="18"/>
          <w:szCs w:val="18"/>
          <w:color w:val="231F20"/>
        </w:rPr>
      </w:pPr>
    </w:p>
    <w:p>
      <w:pPr>
        <w:ind w:left="2160" w:right="20" w:hanging="532"/>
        <w:spacing w:after="0" w:line="282" w:lineRule="auto"/>
        <w:tabs>
          <w:tab w:leader="none" w:pos="2160" w:val="left"/>
        </w:tabs>
        <w:numPr>
          <w:ilvl w:val="2"/>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right of election may be exercised in respect of the whole or part of that portion of the dividend in respect of which the right of election has been accorded; and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1126" w:hanging="532"/>
        <w:spacing w:after="0" w:line="254" w:lineRule="auto"/>
        <w:tabs>
          <w:tab w:leader="none" w:pos="1126" w:val="left"/>
        </w:tabs>
        <w:numPr>
          <w:ilvl w:val="1"/>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defined below)) as the Board may determine, such sum as may be required to pay up in full the appropriate number of shares of the relevant class for allotment and distribution to and amongst the holders of the non-elected shares on such basis; or</w:t>
      </w:r>
    </w:p>
    <w:p>
      <w:pPr>
        <w:spacing w:after="0" w:line="191" w:lineRule="exact"/>
        <w:rPr>
          <w:rFonts w:ascii="Times New Roman" w:cs="Times New Roman" w:eastAsia="Times New Roman" w:hAnsi="Times New Roman"/>
          <w:sz w:val="18"/>
          <w:szCs w:val="18"/>
          <w:color w:val="231F20"/>
        </w:rPr>
      </w:pPr>
    </w:p>
    <w:p>
      <w:pPr>
        <w:ind w:left="546" w:right="20" w:hanging="546"/>
        <w:spacing w:after="0" w:line="282" w:lineRule="auto"/>
        <w:tabs>
          <w:tab w:leader="none" w:pos="546"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the Members entitled to such dividend shall be entitled to elect to receive an allotment of shares credited as fully paid up in lieu of the whole or such part of the dividend as the Board may think fit. In such case, the following provisions shall apply:</w:t>
      </w:r>
    </w:p>
    <w:p>
      <w:pPr>
        <w:spacing w:after="0" w:line="161" w:lineRule="exact"/>
        <w:rPr>
          <w:rFonts w:ascii="Times New Roman" w:cs="Times New Roman" w:eastAsia="Times New Roman" w:hAnsi="Times New Roman"/>
          <w:sz w:val="18"/>
          <w:szCs w:val="18"/>
          <w:color w:val="231F20"/>
        </w:rPr>
      </w:pPr>
    </w:p>
    <w:p>
      <w:pPr>
        <w:ind w:left="1126" w:hanging="532"/>
        <w:spacing w:after="0"/>
        <w:tabs>
          <w:tab w:leader="none" w:pos="1126" w:val="left"/>
        </w:tabs>
        <w:numPr>
          <w:ilvl w:val="1"/>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basis of any such allotment shall be determined by the Board;</w:t>
      </w:r>
    </w:p>
    <w:p>
      <w:pPr>
        <w:spacing w:after="0" w:line="225" w:lineRule="exact"/>
        <w:rPr>
          <w:rFonts w:ascii="Times New Roman" w:cs="Times New Roman" w:eastAsia="Times New Roman" w:hAnsi="Times New Roman"/>
          <w:sz w:val="18"/>
          <w:szCs w:val="18"/>
          <w:color w:val="231F20"/>
        </w:rPr>
      </w:pPr>
    </w:p>
    <w:p>
      <w:pPr>
        <w:jc w:val="both"/>
        <w:ind w:left="1126" w:hanging="532"/>
        <w:spacing w:after="0" w:line="261" w:lineRule="auto"/>
        <w:tabs>
          <w:tab w:leader="none" w:pos="1126" w:val="left"/>
        </w:tabs>
        <w:numPr>
          <w:ilvl w:val="1"/>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after determining the basis of allotment, shall give not less than two (2) weeks’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79" w:lineRule="exact"/>
        <w:rPr>
          <w:rFonts w:ascii="Times New Roman" w:cs="Times New Roman" w:eastAsia="Times New Roman" w:hAnsi="Times New Roman"/>
          <w:sz w:val="18"/>
          <w:szCs w:val="18"/>
          <w:color w:val="231F20"/>
        </w:rPr>
      </w:pPr>
    </w:p>
    <w:p>
      <w:pPr>
        <w:ind w:left="1126" w:right="20" w:hanging="532"/>
        <w:spacing w:after="0" w:line="282" w:lineRule="auto"/>
        <w:tabs>
          <w:tab w:leader="none" w:pos="1126" w:val="left"/>
        </w:tabs>
        <w:numPr>
          <w:ilvl w:val="1"/>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right of election may be exercised in respect of the whole or part of that portion of the dividend in respect of which the right of election has been accorded; and</w:t>
      </w:r>
    </w:p>
    <w:p>
      <w:pPr>
        <w:spacing w:after="0" w:line="161" w:lineRule="exact"/>
        <w:rPr>
          <w:rFonts w:ascii="Times New Roman" w:cs="Times New Roman" w:eastAsia="Times New Roman" w:hAnsi="Times New Roman"/>
          <w:sz w:val="18"/>
          <w:szCs w:val="18"/>
          <w:color w:val="231F20"/>
        </w:rPr>
      </w:pPr>
    </w:p>
    <w:p>
      <w:pPr>
        <w:jc w:val="both"/>
        <w:ind w:left="1126" w:hanging="532"/>
        <w:spacing w:after="0" w:line="254" w:lineRule="auto"/>
        <w:tabs>
          <w:tab w:leader="none" w:pos="1126" w:val="left"/>
        </w:tabs>
        <w:numPr>
          <w:ilvl w:val="1"/>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defined below)) as the Board may determine, such sum as may be required to pay up in full the appropriate number of shares of the relevant class for allotment and distribution to and amongst the holders of the elected shares on such basis.</w:t>
      </w:r>
    </w:p>
    <w:p>
      <w:pPr>
        <w:spacing w:after="0" w:line="200" w:lineRule="exact"/>
        <w:rPr>
          <w:sz w:val="20"/>
          <w:szCs w:val="20"/>
          <w:color w:val="auto"/>
        </w:rPr>
      </w:pPr>
    </w:p>
    <w:p>
      <w:pPr>
        <w:spacing w:after="0" w:line="208" w:lineRule="exact"/>
        <w:rPr>
          <w:sz w:val="20"/>
          <w:szCs w:val="20"/>
          <w:color w:val="auto"/>
        </w:rPr>
      </w:pPr>
    </w:p>
    <w:p>
      <w:pPr>
        <w:ind w:left="4486"/>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06"/>
          </w:cols>
          <w:pgMar w:left="1354" w:top="904" w:right="339" w:bottom="1440" w:gutter="0" w:footer="0" w:header="0"/>
        </w:sectPr>
      </w:pPr>
    </w:p>
    <w:bookmarkStart w:id="52" w:name="page53"/>
    <w:bookmarkEnd w:id="52"/>
    <w:p>
      <w:pPr>
        <w:jc w:val="right"/>
        <w:ind w:left="1031" w:hanging="1031"/>
        <w:spacing w:after="0" w:line="256" w:lineRule="auto"/>
        <w:tabs>
          <w:tab w:leader="none" w:pos="491"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(a)The shares allotted pursuant to the provisions of paragraph (1) of this Article shall rank </w:t>
      </w:r>
      <w:r>
        <w:rPr>
          <w:rFonts w:ascii="Times New Roman" w:cs="Times New Roman" w:eastAsia="Times New Roman" w:hAnsi="Times New Roman"/>
          <w:sz w:val="18"/>
          <w:szCs w:val="18"/>
          <w:i w:val="1"/>
          <w:iCs w:val="1"/>
          <w:color w:val="231F20"/>
        </w:rPr>
        <w:t>pari passu</w:t>
      </w:r>
      <w:r>
        <w:rPr>
          <w:rFonts w:ascii="Times New Roman" w:cs="Times New Roman" w:eastAsia="Times New Roman" w:hAnsi="Times New Roman"/>
          <w:sz w:val="18"/>
          <w:szCs w:val="18"/>
          <w:color w:val="231F20"/>
        </w:rPr>
        <w:t xml:space="preserve">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w:t>
      </w:r>
    </w:p>
    <w:p>
      <w:pPr>
        <w:spacing w:after="0" w:line="1" w:lineRule="exact"/>
        <w:rPr>
          <w:rFonts w:ascii="Times New Roman" w:cs="Times New Roman" w:eastAsia="Times New Roman" w:hAnsi="Times New Roman"/>
          <w:sz w:val="18"/>
          <w:szCs w:val="18"/>
          <w:color w:val="231F20"/>
        </w:rPr>
      </w:pPr>
    </w:p>
    <w:p>
      <w:pPr>
        <w:jc w:val="both"/>
        <w:ind w:left="1031" w:firstLine="8"/>
        <w:spacing w:after="0" w:line="250" w:lineRule="auto"/>
        <w:tabs>
          <w:tab w:leader="none" w:pos="1319" w:val="left"/>
        </w:tabs>
        <w:numPr>
          <w:ilvl w:val="3"/>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paragraph (1) of this Article in relation to the relevant dividend or contemporaneously with their announcement of the distribution, bonus or rights in question, the Board shall specify that the shares to be allotted pursuant to the provisions of paragraph</w:t>
      </w:r>
    </w:p>
    <w:p>
      <w:pPr>
        <w:ind w:left="1031"/>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of this Article shall rank for participation in such distribution, bonus or rights.</w:t>
      </w:r>
    </w:p>
    <w:p>
      <w:pPr>
        <w:spacing w:after="0" w:line="206" w:lineRule="exact"/>
        <w:rPr>
          <w:rFonts w:ascii="Times New Roman" w:cs="Times New Roman" w:eastAsia="Times New Roman" w:hAnsi="Times New Roman"/>
          <w:sz w:val="18"/>
          <w:szCs w:val="18"/>
          <w:color w:val="231F20"/>
        </w:rPr>
      </w:pPr>
    </w:p>
    <w:p>
      <w:pPr>
        <w:jc w:val="both"/>
        <w:ind w:left="1031" w:hanging="545"/>
        <w:spacing w:after="0" w:line="255" w:lineRule="auto"/>
        <w:tabs>
          <w:tab w:leader="none" w:pos="1031" w:val="left"/>
        </w:tabs>
        <w:numPr>
          <w:ilvl w:val="2"/>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do all acts and things considered necessary or expedient to give effect to any capitalisation pursuant to the provisions of paragraph (1)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p>
      <w:pPr>
        <w:spacing w:after="0" w:line="188" w:lineRule="exact"/>
        <w:rPr>
          <w:rFonts w:ascii="Times New Roman" w:cs="Times New Roman" w:eastAsia="Times New Roman" w:hAnsi="Times New Roman"/>
          <w:sz w:val="18"/>
          <w:szCs w:val="18"/>
          <w:color w:val="231F20"/>
        </w:rPr>
      </w:pPr>
    </w:p>
    <w:p>
      <w:pPr>
        <w:jc w:val="both"/>
        <w:ind w:left="531" w:hanging="504"/>
        <w:spacing w:after="0" w:line="261" w:lineRule="auto"/>
        <w:tabs>
          <w:tab w:leader="none" w:pos="531" w:val="left"/>
        </w:tabs>
        <w:numPr>
          <w:ilvl w:val="1"/>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upon the recommendation of the Board by ordinary resolution resolve in respect of any one particular dividend of the Company that notwithstanding the provisions of paragraph (1) of this Article a dividend may be satisfied wholly in the form of an allotment of shares credited as fully paid up without offering any right to shareholders to elect to receive such dividend in cash in lieu of such allotment.</w:t>
      </w:r>
    </w:p>
    <w:p>
      <w:pPr>
        <w:spacing w:after="0" w:line="179" w:lineRule="exact"/>
        <w:rPr>
          <w:rFonts w:ascii="Times New Roman" w:cs="Times New Roman" w:eastAsia="Times New Roman" w:hAnsi="Times New Roman"/>
          <w:sz w:val="18"/>
          <w:szCs w:val="18"/>
          <w:color w:val="231F20"/>
        </w:rPr>
      </w:pPr>
    </w:p>
    <w:p>
      <w:pPr>
        <w:jc w:val="both"/>
        <w:ind w:left="531" w:hanging="504"/>
        <w:spacing w:after="0" w:line="256" w:lineRule="auto"/>
        <w:tabs>
          <w:tab w:leader="none" w:pos="531" w:val="left"/>
        </w:tabs>
        <w:numPr>
          <w:ilvl w:val="1"/>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on any occasion determine that rights of election and the allotment of shares under paragraph (1)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spacing w:after="0" w:line="187" w:lineRule="exact"/>
        <w:rPr>
          <w:rFonts w:ascii="Times New Roman" w:cs="Times New Roman" w:eastAsia="Times New Roman" w:hAnsi="Times New Roman"/>
          <w:sz w:val="18"/>
          <w:szCs w:val="18"/>
          <w:color w:val="231F20"/>
        </w:rPr>
      </w:pPr>
    </w:p>
    <w:p>
      <w:pPr>
        <w:jc w:val="both"/>
        <w:ind w:left="531" w:hanging="504"/>
        <w:spacing w:after="0" w:line="255" w:lineRule="auto"/>
        <w:tabs>
          <w:tab w:leader="none" w:pos="531" w:val="left"/>
        </w:tabs>
        <w:numPr>
          <w:ilvl w:val="1"/>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Any resolution declaring a dividend on shares of any class, whether a resolution of the Company in general meeting or a resolution of the Board,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w:t>
      </w:r>
      <w:r>
        <w:rPr>
          <w:rFonts w:ascii="Times New Roman" w:cs="Times New Roman" w:eastAsia="Times New Roman" w:hAnsi="Times New Roman"/>
          <w:sz w:val="18"/>
          <w:szCs w:val="18"/>
          <w:i w:val="1"/>
          <w:iCs w:val="1"/>
          <w:color w:val="231F20"/>
        </w:rPr>
        <w:t>mutatis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mutandis </w:t>
      </w:r>
      <w:r>
        <w:rPr>
          <w:rFonts w:ascii="Times New Roman" w:cs="Times New Roman" w:eastAsia="Times New Roman" w:hAnsi="Times New Roman"/>
          <w:sz w:val="18"/>
          <w:szCs w:val="18"/>
          <w:color w:val="231F20"/>
        </w:rPr>
        <w:t>apply to bonuses, capitalisation issues, distributions of realised capital profits or offers or grants made by the Company to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Members.</w:t>
      </w:r>
    </w:p>
    <w:p>
      <w:pPr>
        <w:spacing w:after="0" w:line="200" w:lineRule="exact"/>
        <w:rPr>
          <w:sz w:val="20"/>
          <w:szCs w:val="20"/>
          <w:color w:val="auto"/>
        </w:rPr>
      </w:pPr>
    </w:p>
    <w:p>
      <w:pPr>
        <w:spacing w:after="0" w:line="205" w:lineRule="exact"/>
        <w:rPr>
          <w:sz w:val="20"/>
          <w:szCs w:val="20"/>
          <w:color w:val="auto"/>
        </w:rPr>
      </w:pPr>
    </w:p>
    <w:p>
      <w:pPr>
        <w:ind w:left="4891"/>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11"/>
          </w:cols>
          <w:pgMar w:left="949" w:top="90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231F20"/>
        </w:rPr>
        <w:t>RESERVES</w:t>
      </w:r>
    </w:p>
    <w:p>
      <w:pPr>
        <w:spacing w:after="0" w:line="229" w:lineRule="exact"/>
        <w:rPr>
          <w:sz w:val="20"/>
          <w:szCs w:val="20"/>
          <w:color w:val="auto"/>
        </w:rPr>
      </w:pPr>
    </w:p>
    <w:p>
      <w:pPr>
        <w:ind w:left="1160" w:hanging="1152"/>
        <w:spacing w:after="0" w:line="261" w:lineRule="auto"/>
        <w:tabs>
          <w:tab w:leader="none" w:pos="62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p>
      <w:pPr>
        <w:spacing w:after="0" w:line="179" w:lineRule="exact"/>
        <w:rPr>
          <w:rFonts w:ascii="Times New Roman" w:cs="Times New Roman" w:eastAsia="Times New Roman" w:hAnsi="Times New Roman"/>
          <w:sz w:val="18"/>
          <w:szCs w:val="18"/>
          <w:color w:val="231F20"/>
        </w:rPr>
      </w:pPr>
    </w:p>
    <w:p>
      <w:pPr>
        <w:jc w:val="both"/>
        <w:ind w:left="1160" w:hanging="504"/>
        <w:spacing w:after="0" w:line="256" w:lineRule="auto"/>
        <w:tabs>
          <w:tab w:leader="none" w:pos="1160" w:val="left"/>
        </w:tabs>
        <w:numPr>
          <w:ilvl w:val="1"/>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CAPITALISATION</w:t>
      </w:r>
    </w:p>
    <w:p>
      <w:pPr>
        <w:spacing w:after="0" w:line="229" w:lineRule="exact"/>
        <w:rPr>
          <w:sz w:val="20"/>
          <w:szCs w:val="20"/>
          <w:color w:val="auto"/>
        </w:rPr>
      </w:pPr>
    </w:p>
    <w:p>
      <w:pPr>
        <w:ind w:left="1160" w:hanging="1152"/>
        <w:spacing w:after="0" w:line="253" w:lineRule="auto"/>
        <w:tabs>
          <w:tab w:leader="none" w:pos="62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Company may, upon the recommendation of the Board, at any time and from time to time pass an ordinary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any capital redemption reserve or fund representing unrealised profits, may be applied only in paying up in full unissued shares of the Company to be allotted to such Members credited as fully paid.</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left="1160" w:hanging="504"/>
        <w:spacing w:after="0" w:line="253" w:lineRule="auto"/>
        <w:tabs>
          <w:tab w:leader="none" w:pos="1160" w:val="left"/>
        </w:tabs>
        <w:numPr>
          <w:ilvl w:val="1"/>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Notwithstanding any provisions in these Articles, the Board may resolve to capitalise all or any part of any amount for the time being standing to the credit of any reserve or fund (including a share premium account and the profit and loss account) whether or not the same is available for distribution by applying such sum in paying up unissued shares to be allotted to (i) employees (including directors) of the Company and/or its affiliates (meaning any individual, corporation, partnership, association, joint-stock company, trust, unincorporated association or other entity (other than the Company) that directly, or indirectly through one or more intermediaries, controls, is controlled by or is under common control with, the Company) upon exercise or vesting of any options or awards granted under any share incentive scheme or employee benefit scheme or other arrangement which relates to such persons that has been adopted or approved by the Members at a general meeting, or (ii) any trustee of any trust to whom shares are to be allotted and issued by the Company in connection with the operation of any share incentive scheme or employee benefit scheme or other arrangement which relates to such persons that has been adopted or approved by the Members at a general meeting.</w:t>
      </w:r>
    </w:p>
    <w:p>
      <w:pPr>
        <w:spacing w:after="0" w:line="194" w:lineRule="exact"/>
        <w:rPr>
          <w:rFonts w:ascii="Times New Roman" w:cs="Times New Roman" w:eastAsia="Times New Roman" w:hAnsi="Times New Roman"/>
          <w:sz w:val="18"/>
          <w:szCs w:val="18"/>
          <w:color w:val="231F20"/>
        </w:rPr>
      </w:pPr>
    </w:p>
    <w:p>
      <w:pPr>
        <w:jc w:val="both"/>
        <w:ind w:left="640" w:hanging="632"/>
        <w:spacing w:after="0" w:line="256" w:lineRule="auto"/>
        <w:tabs>
          <w:tab w:leader="none" w:pos="64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settle, as it considers appropriate, any difficulty arising in regard to any distribution under the last preceding Article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SUBSCRIPTION RIGHTS RESERVE</w:t>
      </w:r>
    </w:p>
    <w:p>
      <w:pPr>
        <w:spacing w:after="0" w:line="229" w:lineRule="exact"/>
        <w:rPr>
          <w:sz w:val="20"/>
          <w:szCs w:val="20"/>
          <w:color w:val="auto"/>
        </w:rPr>
      </w:pPr>
    </w:p>
    <w:p>
      <w:pPr>
        <w:ind w:left="640" w:hanging="632"/>
        <w:spacing w:after="0"/>
        <w:tabs>
          <w:tab w:leader="none" w:pos="640"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following provisions shall have effect to the extent that they are not prohibited by and are in compliance with the Act:</w:t>
      </w:r>
    </w:p>
    <w:p>
      <w:pPr>
        <w:spacing w:after="0" w:line="225" w:lineRule="exact"/>
        <w:rPr>
          <w:rFonts w:ascii="Times New Roman" w:cs="Times New Roman" w:eastAsia="Times New Roman" w:hAnsi="Times New Roman"/>
          <w:sz w:val="18"/>
          <w:szCs w:val="18"/>
          <w:color w:val="231F20"/>
        </w:rPr>
      </w:pPr>
    </w:p>
    <w:p>
      <w:pPr>
        <w:jc w:val="both"/>
        <w:ind w:left="1160" w:hanging="504"/>
        <w:spacing w:after="0" w:line="261" w:lineRule="auto"/>
        <w:tabs>
          <w:tab w:leader="none" w:pos="1160" w:val="left"/>
        </w:tabs>
        <w:numPr>
          <w:ilvl w:val="1"/>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spacing w:after="0" w:line="179" w:lineRule="exact"/>
        <w:rPr>
          <w:rFonts w:ascii="Times New Roman" w:cs="Times New Roman" w:eastAsia="Times New Roman" w:hAnsi="Times New Roman"/>
          <w:sz w:val="18"/>
          <w:szCs w:val="18"/>
          <w:color w:val="231F20"/>
        </w:rPr>
      </w:pPr>
    </w:p>
    <w:p>
      <w:pPr>
        <w:jc w:val="both"/>
        <w:ind w:left="1660" w:hanging="356"/>
        <w:spacing w:after="0" w:line="256" w:lineRule="auto"/>
        <w:tabs>
          <w:tab w:leader="none" w:pos="1660" w:val="left"/>
        </w:tabs>
        <w:numPr>
          <w:ilvl w:val="2"/>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from the date of such act or transaction the Company shall establish and thereafter (subject as provided in this Article) maintain in accordance with the provisions of this Article a reserve (the “Subscription Rights Reserve”) the amount of which shall at no time be less than the sum which for the time being would be required to be capitalised and applied in paying up in full the nominal amount of the additional shares required to be issued and allotted credited as fully paid pursuant to sub – paragraph (c) below on the exercise in full of all the subscription rights outstanding and shall apply the Subscription Rights Reserve in paying up such additional shares in full as and when the same are allotted;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540" w:hanging="356"/>
        <w:spacing w:after="0" w:line="266" w:lineRule="auto"/>
        <w:tabs>
          <w:tab w:leader="none" w:pos="54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p>
      <w:pPr>
        <w:spacing w:after="0" w:line="175" w:lineRule="exact"/>
        <w:rPr>
          <w:rFonts w:ascii="Times New Roman" w:cs="Times New Roman" w:eastAsia="Times New Roman" w:hAnsi="Times New Roman"/>
          <w:sz w:val="18"/>
          <w:szCs w:val="18"/>
          <w:color w:val="231F20"/>
        </w:rPr>
      </w:pPr>
    </w:p>
    <w:p>
      <w:pPr>
        <w:jc w:val="both"/>
        <w:ind w:left="540" w:hanging="356"/>
        <w:spacing w:after="0" w:line="258" w:lineRule="auto"/>
        <w:tabs>
          <w:tab w:leader="none" w:pos="54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warrantholder, credited as fully paid, such additional nominal amount of shares as is equal to the difference between:</w:t>
      </w:r>
    </w:p>
    <w:p>
      <w:pPr>
        <w:spacing w:after="0" w:line="183" w:lineRule="exact"/>
        <w:rPr>
          <w:rFonts w:ascii="Times New Roman" w:cs="Times New Roman" w:eastAsia="Times New Roman" w:hAnsi="Times New Roman"/>
          <w:sz w:val="18"/>
          <w:szCs w:val="18"/>
          <w:color w:val="231F20"/>
        </w:rPr>
      </w:pPr>
    </w:p>
    <w:p>
      <w:pPr>
        <w:ind w:left="1040" w:right="20" w:hanging="532"/>
        <w:spacing w:after="0" w:line="282" w:lineRule="auto"/>
        <w:tabs>
          <w:tab w:leader="none" w:pos="1040" w:val="left"/>
        </w:tabs>
        <w:numPr>
          <w:ilvl w:val="1"/>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said amount in cash which the holder of such warrant is required to pay on exercise of the subscription rights represented thereby (or, as the case may be, the relevant portion thereof in the event of a partial exercise of the subscription rights); and</w:t>
      </w:r>
    </w:p>
    <w:p>
      <w:pPr>
        <w:spacing w:after="0" w:line="161" w:lineRule="exact"/>
        <w:rPr>
          <w:rFonts w:ascii="Times New Roman" w:cs="Times New Roman" w:eastAsia="Times New Roman" w:hAnsi="Times New Roman"/>
          <w:sz w:val="18"/>
          <w:szCs w:val="18"/>
          <w:color w:val="231F20"/>
        </w:rPr>
      </w:pPr>
    </w:p>
    <w:p>
      <w:pPr>
        <w:jc w:val="both"/>
        <w:ind w:left="1040" w:hanging="532"/>
        <w:spacing w:after="0" w:line="256" w:lineRule="auto"/>
        <w:tabs>
          <w:tab w:leader="none" w:pos="1040" w:val="left"/>
        </w:tabs>
        <w:numPr>
          <w:ilvl w:val="1"/>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nominal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warrantholders; and</w:t>
      </w:r>
    </w:p>
    <w:p>
      <w:pPr>
        <w:spacing w:after="0" w:line="187" w:lineRule="exact"/>
        <w:rPr>
          <w:rFonts w:ascii="Times New Roman" w:cs="Times New Roman" w:eastAsia="Times New Roman" w:hAnsi="Times New Roman"/>
          <w:sz w:val="18"/>
          <w:szCs w:val="18"/>
          <w:color w:val="231F20"/>
        </w:rPr>
      </w:pPr>
    </w:p>
    <w:p>
      <w:pPr>
        <w:jc w:val="both"/>
        <w:ind w:left="540" w:hanging="356"/>
        <w:spacing w:after="0" w:line="253" w:lineRule="auto"/>
        <w:tabs>
          <w:tab w:leader="none" w:pos="54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upon the exercise of the subscription rights represented by any warrant, the amount standing to the credit of the Subscription Rights Reserve is not sufficient to pay up in full such additional nominal amount of shares equal to such difference as aforesaid to which the exercising warrantholder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warrantholder upon the issue of such certificate.</w:t>
      </w: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jc w:val="both"/>
        <w:ind w:left="1160" w:hanging="504"/>
        <w:spacing w:after="0" w:line="267" w:lineRule="auto"/>
        <w:tabs>
          <w:tab w:leader="none" w:pos="116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Shares allotted pursuant to the provisions of this Article shall rank </w:t>
      </w:r>
      <w:r>
        <w:rPr>
          <w:rFonts w:ascii="Times New Roman" w:cs="Times New Roman" w:eastAsia="Times New Roman" w:hAnsi="Times New Roman"/>
          <w:sz w:val="18"/>
          <w:szCs w:val="18"/>
          <w:i w:val="1"/>
          <w:iCs w:val="1"/>
          <w:color w:val="231F20"/>
        </w:rPr>
        <w:t>pari passu</w:t>
      </w:r>
      <w:r>
        <w:rPr>
          <w:rFonts w:ascii="Times New Roman" w:cs="Times New Roman" w:eastAsia="Times New Roman" w:hAnsi="Times New Roman"/>
          <w:sz w:val="18"/>
          <w:szCs w:val="18"/>
          <w:color w:val="231F20"/>
        </w:rPr>
        <w:t xml:space="preserve"> 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1" w:lineRule="auto"/>
        <w:tabs>
          <w:tab w:leader="none" w:pos="116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spacing w:after="0" w:line="179" w:lineRule="exact"/>
        <w:rPr>
          <w:rFonts w:ascii="Times New Roman" w:cs="Times New Roman" w:eastAsia="Times New Roman" w:hAnsi="Times New Roman"/>
          <w:sz w:val="18"/>
          <w:szCs w:val="18"/>
          <w:color w:val="231F20"/>
        </w:rPr>
      </w:pPr>
    </w:p>
    <w:p>
      <w:pPr>
        <w:jc w:val="both"/>
        <w:ind w:left="1160" w:hanging="504"/>
        <w:spacing w:after="0" w:line="256" w:lineRule="auto"/>
        <w:tabs>
          <w:tab w:leader="none" w:pos="116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warrantholders credited as fully paid, and as to any other matter concerning the Subscription Rights Reserve shall (in the absence of manifest error) be conclusive and binding upon the Company and all warrantholders and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ACCOUNTING RECORDS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55" w:lineRule="auto"/>
        <w:tabs>
          <w:tab w:leader="none" w:pos="64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Article 150, a printed copy of the Directors’ report, accompanied by the balance sheet and profit and loss account, including every document required by law to be annexed thereto, made up to the end of the applicable financial year and containing a summary of the assets and liabilities of the Company under convenient heads and a statement of income and expenditure, together with a copy of the Auditors’ report, shall be sent to each person entitled thereto at least twenty-one (21) days before the date of the general meeting and at the same time as the notice of annual general meeting and laid before the Company at the annual general meeting held in accordance with Article 56 provided that this Article shall not require a copy of those documents to be sent to any person whose address the Company is not aware or to more than one of the joint holders of any shares or debentures.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jc w:val="both"/>
        <w:ind w:left="640" w:hanging="632"/>
        <w:spacing w:after="0" w:line="255" w:lineRule="auto"/>
        <w:tabs>
          <w:tab w:leader="none" w:pos="64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due compliance with all applicable Statutes, rules and regulations, including, without limitation, the Listing Rules, and to obtaining all necessary consents, if any, required thereunder, the requirements of Article 149 shall be deemed satisfied in relation to any person by sending to the person in any manner not prohibited by the Statutes, summarised financial statements derived from the Company’s annual accounts and the directors’ report which shall be in the form and containing the information required by applicable laws and regulations, provided that any person who is otherwise entitled to the annual financial statements of the Company and the directors’ report thereon may, if he so requires by notice in writing served on the Company, demand that the Company sends to him, in addition to summarised financial statements, a complete printed copy of the Company’s annual financial statement and the directors’ report thereon.</w:t>
      </w:r>
    </w:p>
    <w:p>
      <w:pPr>
        <w:spacing w:after="0" w:line="188"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requirement to send to a person referred to in Article 149 the documents referred to in that article or a summary financial report in accordance with Article 150 shall be deemed satisfied where, in accordance with all applicable Statutes, rules and regulations, including, without limitation, the Listing Rules, the Company publishes copies of the documents referred to in Article 149 and, if applicable, a summary financial report complying with Article 150, on the Company’s computer network or in any other permitted manner (including by sending any form of electronic communication).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AUDIT</w:t>
      </w:r>
    </w:p>
    <w:p>
      <w:pPr>
        <w:spacing w:after="0" w:line="229" w:lineRule="exact"/>
        <w:rPr>
          <w:sz w:val="20"/>
          <w:szCs w:val="20"/>
          <w:color w:val="auto"/>
        </w:rPr>
      </w:pPr>
    </w:p>
    <w:p>
      <w:pPr>
        <w:ind w:left="1120" w:hanging="1112"/>
        <w:spacing w:after="0" w:line="261" w:lineRule="auto"/>
        <w:tabs>
          <w:tab w:leader="none" w:pos="634"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At the annual general meeting or at a subsequent extraordinary general meeting in each year, the Members shall by ordinary resolution appoint an auditor to audit the accounts of the Company and such auditor shall hold office until the next annual general meeting. Such auditor may be a Member but no Director or officer or employee of the Company shall, during his continuance in office, be eligible to act as an auditor of the Company.</w:t>
      </w:r>
    </w:p>
    <w:p>
      <w:pPr>
        <w:spacing w:after="0" w:line="179"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Members may, at any general meeting convened and held in accordance with these Articles, by ordinary resolution remove the Auditor at any time before the expiration of his term of office and shall by ordinary resolution at that meeting appoint another Auditor in his stead for the remainder of his term.</w:t>
      </w:r>
    </w:p>
    <w:p>
      <w:pPr>
        <w:spacing w:after="0" w:line="17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Act the accounts of the Company shall be audited at least once in every year.</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remuneration of the Auditor shall be fixed by an ordinary resolution passed at a general meeting or in such manner as the Members may by ordinary resolution determine.</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fill any casual vacancy in the office of Auditor but while any such vacancy continues the surviving or continuing Auditor or Auditors, if any, may act. The remuneration of any Auditor appointed by the Directors under this Article may be fixed by the Board. Subject to Article 152(2), an Auditor appointed under this Article shall hold office until the next following annual general meeting of the Company and shall then be subject to appointment by the Members under Article 152(1) at such remuneration to be determined by the Members under Article 154.</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40" w:hanging="632"/>
        <w:spacing w:after="0" w:line="282" w:lineRule="auto"/>
        <w:tabs>
          <w:tab w:leader="none" w:pos="640"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54" w:lineRule="auto"/>
        <w:tabs>
          <w:tab w:leader="none" w:pos="640"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Members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NOTICES</w:t>
      </w:r>
    </w:p>
    <w:p>
      <w:pPr>
        <w:spacing w:after="0" w:line="229" w:lineRule="exact"/>
        <w:rPr>
          <w:sz w:val="20"/>
          <w:szCs w:val="20"/>
          <w:color w:val="auto"/>
        </w:rPr>
      </w:pPr>
    </w:p>
    <w:p>
      <w:pPr>
        <w:ind w:left="1120" w:hanging="1112"/>
        <w:spacing w:after="0" w:line="261" w:lineRule="auto"/>
        <w:tabs>
          <w:tab w:leader="none" w:pos="634" w:val="left"/>
        </w:tabs>
        <w:numPr>
          <w:ilvl w:val="0"/>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Any Notice or document (including any “corporate communication” and “actionable corporate communication” within the meaning ascribed thereto under the Listing Rules), whether or not, to be given or issued under these Articles from the Company shall be in writing or by cable, telex or facsimile transmission message or other form of electronic transmission or electronic communication and, subject to compliance with the Listing Rules, any such Notice and document may be given or issued by any of the following means:</w:t>
      </w:r>
    </w:p>
    <w:p>
      <w:pPr>
        <w:spacing w:after="0" w:line="179" w:lineRule="exact"/>
        <w:rPr>
          <w:rFonts w:ascii="Times New Roman" w:cs="Times New Roman" w:eastAsia="Times New Roman" w:hAnsi="Times New Roman"/>
          <w:sz w:val="18"/>
          <w:szCs w:val="18"/>
          <w:color w:val="231F20"/>
        </w:rPr>
      </w:pPr>
    </w:p>
    <w:p>
      <w:pPr>
        <w:ind w:left="1460" w:hanging="359"/>
        <w:spacing w:after="0"/>
        <w:tabs>
          <w:tab w:leader="none" w:pos="1460"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serving it personally on the relevant person;</w:t>
      </w:r>
    </w:p>
    <w:p>
      <w:pPr>
        <w:spacing w:after="0" w:line="225" w:lineRule="exact"/>
        <w:rPr>
          <w:rFonts w:ascii="Times New Roman" w:cs="Times New Roman" w:eastAsia="Times New Roman" w:hAnsi="Times New Roman"/>
          <w:sz w:val="18"/>
          <w:szCs w:val="18"/>
          <w:color w:val="231F20"/>
        </w:rPr>
      </w:pPr>
    </w:p>
    <w:p>
      <w:pPr>
        <w:ind w:left="1460" w:right="20" w:hanging="359"/>
        <w:spacing w:after="0" w:line="282" w:lineRule="auto"/>
        <w:tabs>
          <w:tab w:leader="none" w:pos="1460"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sending it through the post in a prepaid envelope addressed to such Member at his registered address as appearing in the Register or at any other address supplied by him to the Company for the purpose;</w:t>
      </w:r>
    </w:p>
    <w:p>
      <w:pPr>
        <w:spacing w:after="0" w:line="161" w:lineRule="exact"/>
        <w:rPr>
          <w:rFonts w:ascii="Times New Roman" w:cs="Times New Roman" w:eastAsia="Times New Roman" w:hAnsi="Times New Roman"/>
          <w:sz w:val="18"/>
          <w:szCs w:val="18"/>
          <w:color w:val="231F20"/>
        </w:rPr>
      </w:pPr>
    </w:p>
    <w:p>
      <w:pPr>
        <w:ind w:left="1460" w:hanging="359"/>
        <w:spacing w:after="0"/>
        <w:tabs>
          <w:tab w:leader="none" w:pos="1460"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delivering or leaving it at such address as aforesaid;</w:t>
      </w:r>
    </w:p>
    <w:p>
      <w:pPr>
        <w:spacing w:after="0" w:line="225" w:lineRule="exact"/>
        <w:rPr>
          <w:rFonts w:ascii="Times New Roman" w:cs="Times New Roman" w:eastAsia="Times New Roman" w:hAnsi="Times New Roman"/>
          <w:sz w:val="18"/>
          <w:szCs w:val="18"/>
          <w:color w:val="231F20"/>
        </w:rPr>
      </w:pPr>
    </w:p>
    <w:p>
      <w:pPr>
        <w:ind w:left="1460" w:hanging="359"/>
        <w:spacing w:after="0" w:line="282" w:lineRule="auto"/>
        <w:tabs>
          <w:tab w:leader="none" w:pos="1460"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placing an advertisement in appropriate newspapers or other publication and where applicable, in accordance with the requirements of the Designated Stock Exchange;</w:t>
      </w:r>
    </w:p>
    <w:p>
      <w:pPr>
        <w:spacing w:after="0" w:line="161" w:lineRule="exact"/>
        <w:rPr>
          <w:rFonts w:ascii="Times New Roman" w:cs="Times New Roman" w:eastAsia="Times New Roman" w:hAnsi="Times New Roman"/>
          <w:sz w:val="18"/>
          <w:szCs w:val="18"/>
          <w:color w:val="231F20"/>
        </w:rPr>
      </w:pPr>
    </w:p>
    <w:p>
      <w:pPr>
        <w:ind w:left="1460" w:right="20" w:hanging="359"/>
        <w:spacing w:after="0" w:line="282" w:lineRule="auto"/>
        <w:tabs>
          <w:tab w:leader="none" w:pos="1460"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sending or transmitting it as an electronic communication to the relevant person at such electronic address as he may provide under Article 158(3) without the need for any additional consent or notification;</w:t>
      </w:r>
    </w:p>
    <w:p>
      <w:pPr>
        <w:spacing w:after="0" w:line="161" w:lineRule="exact"/>
        <w:rPr>
          <w:rFonts w:ascii="Times New Roman" w:cs="Times New Roman" w:eastAsia="Times New Roman" w:hAnsi="Times New Roman"/>
          <w:sz w:val="18"/>
          <w:szCs w:val="18"/>
          <w:color w:val="231F20"/>
        </w:rPr>
      </w:pPr>
    </w:p>
    <w:p>
      <w:pPr>
        <w:ind w:left="1460" w:hanging="359"/>
        <w:spacing w:after="0" w:line="282" w:lineRule="auto"/>
        <w:tabs>
          <w:tab w:leader="none" w:pos="1460"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publishing it on the Company’s website or the website of the Designated Stock Exchange without the need for any additional consent or notification; or</w:t>
      </w:r>
    </w:p>
    <w:p>
      <w:pPr>
        <w:spacing w:after="0" w:line="161" w:lineRule="exact"/>
        <w:rPr>
          <w:rFonts w:ascii="Times New Roman" w:cs="Times New Roman" w:eastAsia="Times New Roman" w:hAnsi="Times New Roman"/>
          <w:sz w:val="18"/>
          <w:szCs w:val="18"/>
          <w:color w:val="231F20"/>
        </w:rPr>
      </w:pPr>
    </w:p>
    <w:p>
      <w:pPr>
        <w:ind w:left="1460" w:hanging="359"/>
        <w:spacing w:after="0" w:line="282" w:lineRule="auto"/>
        <w:tabs>
          <w:tab w:leader="none" w:pos="1460"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sending or otherwise making it available to such person through such other means, whether electronically or otherwise, to the extent permitted by and in accordance with the Statutes and other applicable laws, rules and regulations.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1160" w:hanging="504"/>
        <w:spacing w:after="0" w:line="282" w:lineRule="auto"/>
        <w:tabs>
          <w:tab w:leader="none" w:pos="11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joint holders of a share, all notices shall be given to that one of the joint holders whose name stands first in the Register and notice so given shall be deemed a sufficient service on or delivery to all the joint holders.</w:t>
      </w:r>
    </w:p>
    <w:p>
      <w:pPr>
        <w:spacing w:after="0" w:line="161"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Every Member or a person who is entitled to receive notice from the Company under the provisions of the Statutes or these Articles may register with the Company an electronic address to which Notices can be served upon him.</w:t>
      </w:r>
    </w:p>
    <w:p>
      <w:pPr>
        <w:spacing w:after="0" w:line="161"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any applicable laws, rules and regulations and the terms of these Articles, any notice, document or publication, including but not limited to the documents referred to in Articles 149, 150 and 158 may be given in the English language only or in both the English language and the Chinese language or, with the consent of or election by any member, in the Chinese language only to such Member.</w:t>
      </w:r>
    </w:p>
    <w:p>
      <w:pPr>
        <w:spacing w:after="0" w:line="17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Notice or other document:</w:t>
      </w:r>
    </w:p>
    <w:p>
      <w:pPr>
        <w:spacing w:after="0" w:line="225" w:lineRule="exact"/>
        <w:rPr>
          <w:sz w:val="20"/>
          <w:szCs w:val="20"/>
          <w:color w:val="auto"/>
        </w:rPr>
      </w:pPr>
    </w:p>
    <w:p>
      <w:pPr>
        <w:jc w:val="both"/>
        <w:ind w:left="1160" w:hanging="504"/>
        <w:spacing w:after="0" w:line="258" w:lineRule="auto"/>
        <w:tabs>
          <w:tab w:leader="none" w:pos="1160" w:val="left"/>
        </w:tabs>
        <w:numPr>
          <w:ilvl w:val="0"/>
          <w:numId w:val="10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83" w:lineRule="exact"/>
        <w:rPr>
          <w:rFonts w:ascii="Times New Roman" w:cs="Times New Roman" w:eastAsia="Times New Roman" w:hAnsi="Times New Roman"/>
          <w:sz w:val="18"/>
          <w:szCs w:val="18"/>
          <w:color w:val="231F20"/>
        </w:rPr>
      </w:pPr>
    </w:p>
    <w:p>
      <w:pPr>
        <w:jc w:val="both"/>
        <w:ind w:left="1160" w:hanging="504"/>
        <w:spacing w:after="0" w:line="261" w:lineRule="auto"/>
        <w:tabs>
          <w:tab w:leader="none" w:pos="1160" w:val="left"/>
        </w:tabs>
        <w:numPr>
          <w:ilvl w:val="0"/>
          <w:numId w:val="10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sent by electronic communication, shall be deemed to be given on the day on which it is transmitted from the server of the Company or its agent. A Notice, document or publication placed on either the Company’s website or the website of the Designated Stock Exchange, is deemed given or served by the Company on the day it first so appears on the relevant website, unless the Listing Rules specify a different date. In such cases, the deemed date of service shall be as provided or required by the Listing Rules;</w:t>
      </w:r>
    </w:p>
    <w:p>
      <w:pPr>
        <w:spacing w:after="0" w:line="179" w:lineRule="exact"/>
        <w:rPr>
          <w:rFonts w:ascii="Times New Roman" w:cs="Times New Roman" w:eastAsia="Times New Roman" w:hAnsi="Times New Roman"/>
          <w:sz w:val="18"/>
          <w:szCs w:val="18"/>
          <w:color w:val="231F20"/>
        </w:rPr>
      </w:pPr>
    </w:p>
    <w:p>
      <w:pPr>
        <w:jc w:val="both"/>
        <w:ind w:left="1160" w:hanging="504"/>
        <w:spacing w:after="0" w:line="261" w:lineRule="auto"/>
        <w:tabs>
          <w:tab w:leader="none" w:pos="1160" w:val="left"/>
        </w:tabs>
        <w:numPr>
          <w:ilvl w:val="0"/>
          <w:numId w:val="10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served or delivered in any other manner contemplated by these Articles, shall be deemed to have been served or delivered at the time of personal service or delivery or, as the case may be, at the time of the relevant despatch or transmission; and in proving such service or delivery a certificate in writing signed by the Secretary or other officer of the Company or other person appointed by the Board as to the act and time of such service, delivery, despatch or transmission shall be conclusive evidence thereof; and</w:t>
      </w:r>
    </w:p>
    <w:p>
      <w:pPr>
        <w:spacing w:after="0" w:line="179"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0"/>
          <w:numId w:val="10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published as an advertisement in a newspaper or other publication permitted under these Articles, shall be deemed to have been served on the day on which the advertisement first so appears.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1120" w:hanging="1112"/>
        <w:spacing w:after="0" w:line="256" w:lineRule="auto"/>
        <w:tabs>
          <w:tab w:leader="none" w:pos="634"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Any Notice or other document delivered or sent in any manner permitted by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spacing w:after="0" w:line="187" w:lineRule="exact"/>
        <w:rPr>
          <w:rFonts w:ascii="Times New Roman" w:cs="Times New Roman" w:eastAsia="Times New Roman" w:hAnsi="Times New Roman"/>
          <w:sz w:val="18"/>
          <w:szCs w:val="18"/>
          <w:color w:val="231F20"/>
        </w:rPr>
      </w:pPr>
    </w:p>
    <w:p>
      <w:pPr>
        <w:jc w:val="both"/>
        <w:ind w:left="1160" w:hanging="504"/>
        <w:spacing w:after="0" w:line="258" w:lineRule="auto"/>
        <w:tabs>
          <w:tab w:leader="none" w:pos="1160" w:val="left"/>
        </w:tabs>
        <w:numPr>
          <w:ilvl w:val="1"/>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Notice may be given by the Company to the person entitled to a share in consequence of the death, mental disorder or bankruptcy of a Member by sending it via electronic means or through the post in a prepaid letter, envelope or wrapper addressed to him by name, or by the title of representative of the deceased, or trustee of the bankrupt, or by any like description, at the electronic or postal address, if any, supplied for the purpose by the person claiming to be so entitled, or (until such electronic or postal address has been so supplied) by giving the notice in any manner in which the same might have been given if the death, mental disorder or bankruptcy had not occurred.</w:t>
      </w:r>
    </w:p>
    <w:p>
      <w:pPr>
        <w:spacing w:after="0" w:line="183"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jc w:val="both"/>
        <w:ind w:left="640" w:hanging="632"/>
        <w:spacing w:after="0" w:line="256" w:lineRule="auto"/>
        <w:tabs>
          <w:tab w:leader="none" w:pos="640" w:val="left"/>
        </w:tabs>
        <w:numPr>
          <w:ilvl w:val="0"/>
          <w:numId w:val="10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purposes of these Articles, a facsimile or electronic transmission message purporting to come from a holder of shares or, as the case may be, a Director or alternate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or alternate Director in the terms in which it is received. The signature to any Notice or document to be given by the Company may be written, printed or in electronic form.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WINDING UP</w:t>
      </w:r>
    </w:p>
    <w:p>
      <w:pPr>
        <w:spacing w:after="0" w:line="229" w:lineRule="exact"/>
        <w:rPr>
          <w:sz w:val="20"/>
          <w:szCs w:val="20"/>
          <w:color w:val="auto"/>
        </w:rPr>
      </w:pPr>
    </w:p>
    <w:p>
      <w:pPr>
        <w:ind w:left="1120" w:hanging="1112"/>
        <w:spacing w:after="0" w:line="282" w:lineRule="auto"/>
        <w:tabs>
          <w:tab w:leader="none" w:pos="634" w:val="left"/>
        </w:tabs>
        <w:numPr>
          <w:ilvl w:val="0"/>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Subject to Article 162(2), the Board shall have power in the name and on behalf of the Company to present a petition to the court for the Company to be wound up.</w:t>
      </w:r>
    </w:p>
    <w:p>
      <w:pPr>
        <w:spacing w:after="0" w:line="161"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Unless otherwise provided by the Act, a resolution that the Company be wound up by the court or to be wound up voluntarily shall be a special resolution.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1120" w:hanging="1112"/>
        <w:spacing w:after="0" w:line="255" w:lineRule="auto"/>
        <w:tabs>
          <w:tab w:leader="none" w:pos="634"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shall be more than sufficient to repay the whole of the capital paid up at the commencement of the winding up, the excess shall be distributed </w:t>
      </w:r>
      <w:r>
        <w:rPr>
          <w:rFonts w:ascii="Times New Roman" w:cs="Times New Roman" w:eastAsia="Times New Roman" w:hAnsi="Times New Roman"/>
          <w:sz w:val="18"/>
          <w:szCs w:val="18"/>
          <w:i w:val="1"/>
          <w:iCs w:val="1"/>
          <w:color w:val="231F20"/>
        </w:rPr>
        <w:t>pari passu</w:t>
      </w:r>
      <w:r>
        <w:rPr>
          <w:rFonts w:ascii="Times New Roman" w:cs="Times New Roman" w:eastAsia="Times New Roman" w:hAnsi="Times New Roman"/>
          <w:sz w:val="18"/>
          <w:szCs w:val="18"/>
          <w:color w:val="231F20"/>
        </w:rPr>
        <w:t xml:space="preserve">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as nearly as may be, the losses shall be borne by the Members in proportion to the capital paid up, or which ought to have been paid up, at the commencement of the winding up on the shares held by them respectively.</w:t>
      </w:r>
    </w:p>
    <w:p>
      <w:pPr>
        <w:spacing w:after="0" w:line="188" w:lineRule="exact"/>
        <w:rPr>
          <w:rFonts w:ascii="Times New Roman" w:cs="Times New Roman" w:eastAsia="Times New Roman" w:hAnsi="Times New Roman"/>
          <w:sz w:val="18"/>
          <w:szCs w:val="18"/>
          <w:color w:val="231F20"/>
        </w:rPr>
      </w:pPr>
    </w:p>
    <w:p>
      <w:pPr>
        <w:jc w:val="both"/>
        <w:ind w:left="1160" w:hanging="504"/>
        <w:spacing w:after="0" w:line="254" w:lineRule="auto"/>
        <w:tabs>
          <w:tab w:leader="none" w:pos="1160" w:val="left"/>
        </w:tabs>
        <w:numPr>
          <w:ilvl w:val="1"/>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INDEMNITY</w:t>
      </w:r>
    </w:p>
    <w:p>
      <w:pPr>
        <w:spacing w:after="0" w:line="229" w:lineRule="exact"/>
        <w:rPr>
          <w:sz w:val="20"/>
          <w:szCs w:val="20"/>
          <w:color w:val="auto"/>
        </w:rPr>
      </w:pPr>
    </w:p>
    <w:p>
      <w:pPr>
        <w:ind w:left="1120" w:hanging="1112"/>
        <w:spacing w:after="0" w:line="253" w:lineRule="auto"/>
        <w:tabs>
          <w:tab w:leader="none" w:pos="634"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The Directors, Secretary and other officers and every Auditor of the Company at any time, whether at present or in the past, and the liquidator or trustees (if any) acting or who have acted in relation to any of the affairs of the Company and everyone of them, and everyone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1160" w:hanging="504"/>
        <w:spacing w:after="0" w:line="261" w:lineRule="auto"/>
        <w:tabs>
          <w:tab w:leader="none" w:pos="1160" w:val="left"/>
        </w:tabs>
        <w:numPr>
          <w:ilvl w:val="0"/>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FINANCIAL YEAR</w:t>
      </w:r>
    </w:p>
    <w:p>
      <w:pPr>
        <w:spacing w:after="0" w:line="213" w:lineRule="exact"/>
        <w:rPr>
          <w:sz w:val="20"/>
          <w:szCs w:val="20"/>
          <w:color w:val="auto"/>
        </w:rPr>
      </w:pPr>
    </w:p>
    <w:p>
      <w:pPr>
        <w:ind w:left="640" w:hanging="632"/>
        <w:spacing w:after="0"/>
        <w:tabs>
          <w:tab w:leader="none" w:pos="640" w:val="left"/>
        </w:tabs>
        <w:numPr>
          <w:ilvl w:val="0"/>
          <w:numId w:val="107"/>
        </w:numPr>
        <w:rPr>
          <w:rFonts w:ascii="Times New Roman" w:cs="Times New Roman" w:eastAsia="Times New Roman" w:hAnsi="Times New Roman"/>
          <w:sz w:val="36"/>
          <w:szCs w:val="36"/>
          <w:color w:val="231F20"/>
          <w:vertAlign w:val="superscript"/>
        </w:rPr>
      </w:pPr>
      <w:r>
        <w:rPr>
          <w:rFonts w:ascii="Times New Roman" w:cs="Times New Roman" w:eastAsia="Times New Roman" w:hAnsi="Times New Roman"/>
          <w:sz w:val="18"/>
          <w:szCs w:val="18"/>
          <w:color w:val="231F20"/>
        </w:rPr>
        <w:t>Unless otherwise determined by the Directors, the financial year of the Company shall end on the 31</w:t>
      </w:r>
      <w:r>
        <w:rPr>
          <w:rFonts w:ascii="Times New Roman" w:cs="Times New Roman" w:eastAsia="Times New Roman" w:hAnsi="Times New Roman"/>
          <w:sz w:val="29"/>
          <w:szCs w:val="29"/>
          <w:color w:val="231F20"/>
          <w:vertAlign w:val="superscript"/>
        </w:rPr>
        <w:t>st</w:t>
      </w:r>
      <w:r>
        <w:rPr>
          <w:rFonts w:ascii="Times New Roman" w:cs="Times New Roman" w:eastAsia="Times New Roman" w:hAnsi="Times New Roman"/>
          <w:sz w:val="18"/>
          <w:szCs w:val="18"/>
          <w:color w:val="231F20"/>
        </w:rPr>
        <w:t xml:space="preserve"> day of December in each year.</w:t>
      </w:r>
    </w:p>
    <w:p>
      <w:pPr>
        <w:spacing w:after="0" w:line="77" w:lineRule="exact"/>
        <w:rPr>
          <w:rFonts w:ascii="Times New Roman" w:cs="Times New Roman" w:eastAsia="Times New Roman" w:hAnsi="Times New Roman"/>
          <w:sz w:val="36"/>
          <w:szCs w:val="36"/>
          <w:color w:val="231F20"/>
          <w:vertAlign w:val="superscript"/>
        </w:rPr>
      </w:pPr>
    </w:p>
    <w:p>
      <w:pPr>
        <w:ind w:left="1500"/>
        <w:spacing w:after="0"/>
        <w:rPr>
          <w:rFonts w:ascii="Times New Roman" w:cs="Times New Roman" w:eastAsia="Times New Roman" w:hAnsi="Times New Roman"/>
          <w:sz w:val="36"/>
          <w:szCs w:val="36"/>
          <w:color w:val="231F20"/>
          <w:vertAlign w:val="superscript"/>
        </w:rPr>
      </w:pPr>
      <w:r>
        <w:rPr>
          <w:rFonts w:ascii="Times New Roman" w:cs="Times New Roman" w:eastAsia="Times New Roman" w:hAnsi="Times New Roman"/>
          <w:sz w:val="18"/>
          <w:szCs w:val="18"/>
          <w:b w:val="1"/>
          <w:bCs w:val="1"/>
          <w:color w:val="231F20"/>
        </w:rPr>
        <w:t>AMENDMENT TO MEMORANDUM AND ARTICLES OF ASSOCIATION AND NAME OF COMPANY</w:t>
      </w:r>
    </w:p>
    <w:p>
      <w:pPr>
        <w:spacing w:after="0" w:line="222" w:lineRule="exact"/>
        <w:rPr>
          <w:rFonts w:ascii="Times New Roman" w:cs="Times New Roman" w:eastAsia="Times New Roman" w:hAnsi="Times New Roman"/>
          <w:sz w:val="36"/>
          <w:szCs w:val="36"/>
          <w:color w:val="231F20"/>
          <w:vertAlign w:val="superscript"/>
        </w:rPr>
      </w:pPr>
    </w:p>
    <w:p>
      <w:pPr>
        <w:ind w:left="640" w:hanging="632"/>
        <w:spacing w:after="0" w:line="282" w:lineRule="auto"/>
        <w:tabs>
          <w:tab w:leader="none" w:pos="640" w:val="left"/>
        </w:tabs>
        <w:numPr>
          <w:ilvl w:val="0"/>
          <w:numId w:val="10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Article shall be rescinded, altered or amended and no new Article shall be made until the same has been approved by a special resolution of the Members. A special resolution shall be required to alter the provisions of the memorandum of association or to change the name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INFORMATION</w:t>
      </w:r>
    </w:p>
    <w:p>
      <w:pPr>
        <w:spacing w:after="0" w:line="229" w:lineRule="exact"/>
        <w:rPr>
          <w:sz w:val="20"/>
          <w:szCs w:val="20"/>
          <w:color w:val="auto"/>
        </w:rPr>
      </w:pPr>
    </w:p>
    <w:p>
      <w:pPr>
        <w:jc w:val="both"/>
        <w:ind w:left="640" w:hanging="632"/>
        <w:spacing w:after="0" w:line="266" w:lineRule="auto"/>
        <w:tabs>
          <w:tab w:leader="none" w:pos="640" w:val="left"/>
        </w:tabs>
        <w:numPr>
          <w:ilvl w:val="0"/>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to communicate to the public.</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231F20"/>
        </w:rPr>
        <w:t>PAYMENT OF CORPORATE ACTION PROCEEDS AND ELECTRONIC INSTRUCTIONS</w:t>
      </w:r>
    </w:p>
    <w:p>
      <w:pPr>
        <w:spacing w:after="0" w:line="229" w:lineRule="exact"/>
        <w:rPr>
          <w:sz w:val="20"/>
          <w:szCs w:val="20"/>
          <w:color w:val="auto"/>
        </w:rPr>
      </w:pPr>
    </w:p>
    <w:p>
      <w:pPr>
        <w:ind w:left="640" w:hanging="632"/>
        <w:spacing w:after="0"/>
        <w:tabs>
          <w:tab w:leader="none" w:pos="640" w:val="left"/>
        </w:tabs>
        <w:numPr>
          <w:ilvl w:val="0"/>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the extent permitted by applicable law and unless otherwise restricted or prohibited by the Listing Rules, the Company shall:</w:t>
      </w:r>
    </w:p>
    <w:p>
      <w:pPr>
        <w:spacing w:after="0" w:line="225" w:lineRule="exact"/>
        <w:rPr>
          <w:rFonts w:ascii="Times New Roman" w:cs="Times New Roman" w:eastAsia="Times New Roman" w:hAnsi="Times New Roman"/>
          <w:sz w:val="18"/>
          <w:szCs w:val="18"/>
          <w:color w:val="231F20"/>
        </w:rPr>
      </w:pPr>
    </w:p>
    <w:p>
      <w:pPr>
        <w:jc w:val="both"/>
        <w:ind w:left="1160" w:hanging="504"/>
        <w:spacing w:after="0" w:line="258" w:lineRule="auto"/>
        <w:tabs>
          <w:tab w:leader="none" w:pos="1160" w:val="left"/>
        </w:tabs>
        <w:numPr>
          <w:ilvl w:val="1"/>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 instructions from Members and its securities holders (including but not limited to dividend election instructions, payment choice instructions, responses to “corporate communication” and “actionable corporate communications” within the meaning ascribed thereto under the Listing Rules, and instructions regarding any meeting of the securities holders such as meeting attendance indications, proxy appointments, revocations, voting directions, and responses to corporate communications) transmitted by electronic means, in such manner and subject to reasonable authentication measures as the Board may from time to time determine; and</w:t>
      </w:r>
    </w:p>
    <w:p>
      <w:pPr>
        <w:spacing w:after="0" w:line="183" w:lineRule="exact"/>
        <w:rPr>
          <w:rFonts w:ascii="Times New Roman" w:cs="Times New Roman" w:eastAsia="Times New Roman" w:hAnsi="Times New Roman"/>
          <w:sz w:val="18"/>
          <w:szCs w:val="18"/>
          <w:color w:val="231F20"/>
        </w:rPr>
      </w:pPr>
    </w:p>
    <w:p>
      <w:pPr>
        <w:jc w:val="both"/>
        <w:ind w:left="1160" w:hanging="504"/>
        <w:spacing w:after="0" w:line="256" w:lineRule="auto"/>
        <w:tabs>
          <w:tab w:leader="none" w:pos="1160" w:val="left"/>
        </w:tabs>
        <w:numPr>
          <w:ilvl w:val="1"/>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any corporate action proceeds (including proceeds paid by the Company to Members and its securities holders in connection with its corporate actions, such as the distribution of dividends and other entitlements, refunds in respect of applications for, and/or (where applicable) excess applications in connection with, rights issues, open offers, and offers made to a specified group of such holders on a preferential basis; and payments in connection with takeovers and privatisations) by any electronic means, including through any payment system in Hong Kong operated by Hong Kong Interbank Clearing Limited for settling inter-bank payments on a real-time gross settlement basis, or by such other means as the Board considers appropriate.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
    <w:nsid w:val="275AC794"/>
    <w:multiLevelType w:val="hybridMultilevel"/>
    <w:lvl w:ilvl="0">
      <w:lvlJc w:val="left"/>
      <w:lvlText w:val="(%1)"/>
      <w:numFmt w:val="lowerLetter"/>
      <w:start w:val="10"/>
    </w:lvl>
  </w:abstractNum>
  <w:abstractNum w:abstractNumId="3">
    <w:nsid w:val="39386575"/>
    <w:multiLevelType w:val="hybridMultilevel"/>
    <w:lvl w:ilvl="0">
      <w:lvlJc w:val="left"/>
      <w:lvlText w:val="%1."/>
      <w:numFmt w:val="decimal"/>
      <w:start w:val="3"/>
    </w:lvl>
    <w:lvl w:ilvl="1">
      <w:lvlJc w:val="left"/>
      <w:lvlText w:val="(%2)"/>
      <w:numFmt w:val="decimal"/>
      <w:start w:val="2"/>
    </w:lvl>
  </w:abstractNum>
  <w:abstractNum w:abstractNumId="4">
    <w:nsid w:val="1CF10FD8"/>
    <w:multiLevelType w:val="hybridMultilevel"/>
    <w:lvl w:ilvl="0">
      <w:lvlJc w:val="left"/>
      <w:lvlText w:val="%1."/>
      <w:numFmt w:val="decimal"/>
      <w:start w:val="4"/>
    </w:lvl>
    <w:lvl w:ilvl="1">
      <w:lvlJc w:val="left"/>
      <w:lvlText w:val="(%2)"/>
      <w:numFmt w:val="lowerLetter"/>
      <w:start w:val="1"/>
    </w:lvl>
  </w:abstractNum>
  <w:abstractNum w:abstractNumId="5">
    <w:nsid w:val="180115BE"/>
    <w:multiLevelType w:val="hybridMultilevel"/>
    <w:lvl w:ilvl="0">
      <w:lvlJc w:val="left"/>
      <w:lvlText w:val="%1"/>
      <w:numFmt w:val="decimal"/>
      <w:start w:val="1"/>
    </w:lvl>
    <w:lvl w:ilvl="1">
      <w:lvlJc w:val="left"/>
      <w:lvlText w:val="(%2)"/>
      <w:numFmt w:val="lowerLetter"/>
      <w:start w:val="4"/>
    </w:lvl>
  </w:abstractNum>
  <w:abstractNum w:abstractNumId="6">
    <w:nsid w:val="235BA861"/>
    <w:multiLevelType w:val="hybridMultilevel"/>
    <w:lvl w:ilvl="0">
      <w:lvlJc w:val="left"/>
      <w:lvlText w:val="%1."/>
      <w:numFmt w:val="decimal"/>
      <w:start w:val="5"/>
    </w:lvl>
    <w:lvl w:ilvl="1">
      <w:lvlJc w:val="left"/>
      <w:lvlText w:val="%2"/>
      <w:numFmt w:val="lowerLetter"/>
      <w:start w:val="1"/>
    </w:lvl>
  </w:abstractNum>
  <w:abstractNum w:abstractNumId="7">
    <w:nsid w:val="47398C89"/>
    <w:multiLevelType w:val="hybridMultilevel"/>
    <w:lvl w:ilvl="0">
      <w:lvlJc w:val="left"/>
      <w:lvlText w:val="%1."/>
      <w:numFmt w:val="decimal"/>
      <w:start w:val="8"/>
    </w:lvl>
  </w:abstractNum>
  <w:abstractNum w:abstractNumId="8">
    <w:nsid w:val="354FE9F9"/>
    <w:multiLevelType w:val="hybridMultilevel"/>
    <w:lvl w:ilvl="0">
      <w:lvlJc w:val="left"/>
      <w:lvlText w:val="%1."/>
      <w:numFmt w:val="decimal"/>
      <w:start w:val="10"/>
    </w:lvl>
    <w:lvl w:ilvl="1">
      <w:lvlJc w:val="left"/>
      <w:lvlText w:val="(%2)"/>
      <w:numFmt w:val="lowerLetter"/>
      <w:start w:val="1"/>
    </w:lvl>
  </w:abstractNum>
  <w:abstractNum w:abstractNumId="9">
    <w:nsid w:val="15B5AF5C"/>
    <w:multiLevelType w:val="hybridMultilevel"/>
    <w:lvl w:ilvl="0">
      <w:lvlJc w:val="left"/>
      <w:lvlText w:val="%1."/>
      <w:numFmt w:val="decimal"/>
      <w:start w:val="12"/>
    </w:lvl>
    <w:lvl w:ilvl="1">
      <w:lvlJc w:val="left"/>
      <w:lvlText w:val="(%2)"/>
      <w:numFmt w:val="decimal"/>
      <w:start w:val="2"/>
    </w:lvl>
  </w:abstractNum>
  <w:abstractNum w:abstractNumId="10">
    <w:nsid w:val="741226BB"/>
    <w:multiLevelType w:val="hybridMultilevel"/>
    <w:lvl w:ilvl="0">
      <w:lvlJc w:val="left"/>
      <w:lvlText w:val="%1."/>
      <w:numFmt w:val="decimal"/>
      <w:start w:val="16"/>
    </w:lvl>
    <w:lvl w:ilvl="1">
      <w:lvlJc w:val="left"/>
      <w:lvlText w:val="(%2)"/>
      <w:numFmt w:val="decimal"/>
      <w:start w:val="2"/>
    </w:lvl>
  </w:abstractNum>
  <w:abstractNum w:abstractNumId="11">
    <w:nsid w:val="D34B6A8"/>
    <w:multiLevelType w:val="hybridMultilevel"/>
    <w:lvl w:ilvl="0">
      <w:lvlJc w:val="left"/>
      <w:lvlText w:val="%1."/>
      <w:numFmt w:val="decimal"/>
      <w:start w:val="21"/>
    </w:lvl>
  </w:abstractNum>
  <w:abstractNum w:abstractNumId="12">
    <w:nsid w:val="10233C99"/>
    <w:multiLevelType w:val="hybridMultilevel"/>
    <w:lvl w:ilvl="0">
      <w:lvlJc w:val="left"/>
      <w:lvlText w:val="%1."/>
      <w:numFmt w:val="decimal"/>
      <w:start w:val="22"/>
    </w:lvl>
  </w:abstractNum>
  <w:abstractNum w:abstractNumId="13">
    <w:nsid w:val="3F6AB60F"/>
    <w:multiLevelType w:val="hybridMultilevel"/>
    <w:lvl w:ilvl="0">
      <w:lvlJc w:val="left"/>
      <w:lvlText w:val="%1."/>
      <w:numFmt w:val="decimal"/>
      <w:start w:val="25"/>
    </w:lvl>
  </w:abstractNum>
  <w:abstractNum w:abstractNumId="14">
    <w:nsid w:val="61574095"/>
    <w:multiLevelType w:val="hybridMultilevel"/>
    <w:lvl w:ilvl="0">
      <w:lvlJc w:val="left"/>
      <w:lvlText w:val="%1."/>
      <w:numFmt w:val="decimal"/>
      <w:start w:val="33"/>
    </w:lvl>
  </w:abstractNum>
  <w:abstractNum w:abstractNumId="15">
    <w:nsid w:val="7E0C57B1"/>
    <w:multiLevelType w:val="hybridMultilevel"/>
    <w:lvl w:ilvl="0">
      <w:lvlJc w:val="left"/>
      <w:lvlText w:val="%1."/>
      <w:numFmt w:val="decimal"/>
      <w:start w:val="34"/>
    </w:lvl>
    <w:lvl w:ilvl="1">
      <w:lvlJc w:val="left"/>
      <w:lvlText w:val="(%2)"/>
      <w:numFmt w:val="decimal"/>
      <w:start w:val="1"/>
    </w:lvl>
    <w:lvl w:ilvl="2">
      <w:lvlJc w:val="left"/>
      <w:lvlText w:val="(%3)"/>
      <w:numFmt w:val="lowerLetter"/>
      <w:start w:val="1"/>
    </w:lvl>
  </w:abstractNum>
  <w:abstractNum w:abstractNumId="16">
    <w:nsid w:val="77AE35EB"/>
    <w:multiLevelType w:val="hybridMultilevel"/>
    <w:lvl w:ilvl="0">
      <w:lvlJc w:val="left"/>
      <w:lvlText w:val="%1."/>
      <w:numFmt w:val="decimal"/>
      <w:start w:val="38"/>
    </w:lvl>
  </w:abstractNum>
  <w:abstractNum w:abstractNumId="17">
    <w:nsid w:val="579BE4F1"/>
    <w:multiLevelType w:val="hybridMultilevel"/>
    <w:lvl w:ilvl="0">
      <w:lvlJc w:val="left"/>
      <w:lvlText w:val="%1."/>
      <w:numFmt w:val="decimal"/>
      <w:start w:val="43"/>
    </w:lvl>
    <w:lvl w:ilvl="1">
      <w:lvlJc w:val="left"/>
      <w:lvlText w:val="(%2)"/>
      <w:numFmt w:val="decimal"/>
      <w:start w:val="1"/>
    </w:lvl>
    <w:lvl w:ilvl="2">
      <w:lvlJc w:val="left"/>
      <w:lvlText w:val="(%3)"/>
      <w:numFmt w:val="lowerLetter"/>
      <w:start w:val="1"/>
    </w:lvl>
  </w:abstractNum>
  <w:abstractNum w:abstractNumId="18">
    <w:nsid w:val="310C50B3"/>
    <w:multiLevelType w:val="hybridMultilevel"/>
    <w:lvl w:ilvl="0">
      <w:lvlJc w:val="left"/>
      <w:lvlText w:val="%1."/>
      <w:numFmt w:val="decimal"/>
      <w:start w:val="45"/>
    </w:lvl>
    <w:lvl w:ilvl="1">
      <w:lvlJc w:val="left"/>
      <w:lvlText w:val="(%2)"/>
      <w:numFmt w:val="lowerLetter"/>
      <w:start w:val="1"/>
    </w:lvl>
  </w:abstractNum>
  <w:abstractNum w:abstractNumId="19">
    <w:nsid w:val="5FF87E05"/>
    <w:multiLevelType w:val="hybridMultilevel"/>
    <w:lvl w:ilvl="0">
      <w:lvlJc w:val="left"/>
      <w:lvlText w:val="%1."/>
      <w:numFmt w:val="decimal"/>
      <w:start w:val="46"/>
    </w:lvl>
    <w:lvl w:ilvl="1">
      <w:lvlJc w:val="left"/>
      <w:lvlText w:val="(%2)"/>
      <w:numFmt w:val="decimal"/>
      <w:start w:val="2"/>
    </w:lvl>
  </w:abstractNum>
  <w:abstractNum w:abstractNumId="20">
    <w:nsid w:val="2F305DEF"/>
    <w:multiLevelType w:val="hybridMultilevel"/>
    <w:lvl w:ilvl="0">
      <w:lvlJc w:val="left"/>
      <w:lvlText w:val="%1"/>
      <w:numFmt w:val="decimal"/>
      <w:start w:val="1"/>
    </w:lvl>
    <w:lvl w:ilvl="1">
      <w:lvlJc w:val="left"/>
      <w:lvlText w:val="(%2)"/>
      <w:numFmt w:val="decimal"/>
      <w:start w:val="4"/>
    </w:lvl>
  </w:abstractNum>
  <w:abstractNum w:abstractNumId="21">
    <w:nsid w:val="25A70BF7"/>
    <w:multiLevelType w:val="hybridMultilevel"/>
    <w:lvl w:ilvl="0">
      <w:lvlJc w:val="left"/>
      <w:lvlText w:val="%1."/>
      <w:numFmt w:val="decimal"/>
      <w:start w:val="49"/>
    </w:lvl>
    <w:lvl w:ilvl="1">
      <w:lvlJc w:val="left"/>
      <w:lvlText w:val="%2"/>
      <w:numFmt w:val="decimal"/>
      <w:start w:val="1"/>
    </w:lvl>
  </w:abstractNum>
  <w:abstractNum w:abstractNumId="22">
    <w:nsid w:val="1DBABF00"/>
    <w:multiLevelType w:val="hybridMultilevel"/>
    <w:lvl w:ilvl="0">
      <w:lvlJc w:val="left"/>
      <w:lvlText w:val="%1"/>
      <w:numFmt w:val="decimal"/>
      <w:start w:val="1"/>
    </w:lvl>
    <w:lvl w:ilvl="1">
      <w:lvlJc w:val="left"/>
      <w:lvlText w:val="(%2)"/>
      <w:numFmt w:val="lowerLetter"/>
      <w:start w:val="1"/>
    </w:lvl>
  </w:abstractNum>
  <w:abstractNum w:abstractNumId="23">
    <w:nsid w:val="4AD084E9"/>
    <w:multiLevelType w:val="hybridMultilevel"/>
    <w:lvl w:ilvl="0">
      <w:lvlJc w:val="left"/>
      <w:lvlText w:val="%1."/>
      <w:numFmt w:val="decimal"/>
      <w:start w:val="50"/>
    </w:lvl>
    <w:lvl w:ilvl="1">
      <w:lvlJc w:val="left"/>
      <w:lvlText w:val="%2"/>
      <w:numFmt w:val="lowerLetter"/>
      <w:start w:val="1"/>
    </w:lvl>
  </w:abstractNum>
  <w:abstractNum w:abstractNumId="24">
    <w:nsid w:val="1F48EAA1"/>
    <w:multiLevelType w:val="hybridMultilevel"/>
    <w:lvl w:ilvl="0">
      <w:lvlJc w:val="left"/>
      <w:lvlText w:val="%1."/>
      <w:numFmt w:val="decimal"/>
      <w:start w:val="52"/>
    </w:lvl>
  </w:abstractNum>
  <w:abstractNum w:abstractNumId="25">
    <w:nsid w:val="1381823A"/>
    <w:multiLevelType w:val="hybridMultilevel"/>
    <w:lvl w:ilvl="0">
      <w:lvlJc w:val="left"/>
      <w:lvlText w:val="%1."/>
      <w:numFmt w:val="decimal"/>
      <w:start w:val="55"/>
    </w:lvl>
    <w:lvl w:ilvl="1">
      <w:lvlJc w:val="left"/>
      <w:lvlText w:val="(%2)"/>
      <w:numFmt w:val="decimal"/>
      <w:start w:val="2"/>
    </w:lvl>
    <w:lvl w:ilvl="2">
      <w:lvlJc w:val="left"/>
      <w:lvlText w:val="(%3)"/>
      <w:numFmt w:val="lowerLetter"/>
      <w:start w:val="1"/>
    </w:lvl>
  </w:abstractNum>
  <w:abstractNum w:abstractNumId="26">
    <w:nsid w:val="5DB70AE5"/>
    <w:multiLevelType w:val="hybridMultilevel"/>
    <w:lvl w:ilvl="0">
      <w:lvlJc w:val="left"/>
      <w:lvlText w:val="%1"/>
      <w:numFmt w:val="decimal"/>
      <w:start w:val="1"/>
    </w:lvl>
    <w:lvl w:ilvl="1">
      <w:lvlJc w:val="left"/>
      <w:lvlText w:val="(%2)"/>
      <w:numFmt w:val="lowerLetter"/>
      <w:start w:val="2"/>
    </w:lvl>
  </w:abstractNum>
  <w:abstractNum w:abstractNumId="27">
    <w:nsid w:val="100F8FCA"/>
    <w:multiLevelType w:val="hybridMultilevel"/>
    <w:lvl w:ilvl="0">
      <w:lvlJc w:val="left"/>
      <w:lvlText w:val="(%1)"/>
      <w:numFmt w:val="decimal"/>
      <w:start w:val="3"/>
    </w:lvl>
    <w:lvl w:ilvl="1">
      <w:lvlJc w:val="left"/>
      <w:lvlText w:val="%2"/>
      <w:numFmt w:val="lowerLetter"/>
      <w:start w:val="1"/>
    </w:lvl>
  </w:abstractNum>
  <w:abstractNum w:abstractNumId="28">
    <w:nsid w:val="6590700B"/>
    <w:multiLevelType w:val="hybridMultilevel"/>
    <w:lvl w:ilvl="0">
      <w:lvlJc w:val="left"/>
      <w:lvlText w:val="%1."/>
      <w:numFmt w:val="decimal"/>
      <w:start w:val="56"/>
    </w:lvl>
  </w:abstractNum>
  <w:abstractNum w:abstractNumId="29">
    <w:nsid w:val="15014ACB"/>
    <w:multiLevelType w:val="hybridMultilevel"/>
    <w:lvl w:ilvl="0">
      <w:lvlJc w:val="left"/>
      <w:lvlText w:val="%1."/>
      <w:numFmt w:val="decimal"/>
      <w:start w:val="57"/>
    </w:lvl>
  </w:abstractNum>
  <w:abstractNum w:abstractNumId="30">
    <w:nsid w:val="5F5E7FD0"/>
    <w:multiLevelType w:val="hybridMultilevel"/>
    <w:lvl w:ilvl="0">
      <w:lvlJc w:val="left"/>
      <w:lvlText w:val="%1."/>
      <w:numFmt w:val="decimal"/>
      <w:start w:val="59"/>
    </w:lvl>
    <w:lvl w:ilvl="1">
      <w:lvlJc w:val="left"/>
      <w:lvlText w:val="(%2)"/>
      <w:numFmt w:val="lowerLetter"/>
      <w:start w:val="1"/>
    </w:lvl>
  </w:abstractNum>
  <w:abstractNum w:abstractNumId="31">
    <w:nsid w:val="98A3148"/>
    <w:multiLevelType w:val="hybridMultilevel"/>
    <w:lvl w:ilvl="0">
      <w:lvlJc w:val="left"/>
      <w:lvlText w:val="%1"/>
      <w:numFmt w:val="decimal"/>
      <w:start w:val="1"/>
    </w:lvl>
    <w:lvl w:ilvl="1">
      <w:lvlJc w:val="left"/>
      <w:lvlText w:val="(%2)"/>
      <w:numFmt w:val="decimal"/>
      <w:start w:val="2"/>
    </w:lvl>
  </w:abstractNum>
  <w:abstractNum w:abstractNumId="32">
    <w:nsid w:val="799D0247"/>
    <w:multiLevelType w:val="hybridMultilevel"/>
    <w:lvl w:ilvl="0">
      <w:lvlJc w:val="left"/>
      <w:lvlText w:val="%1."/>
      <w:numFmt w:val="decimal"/>
      <w:start w:val="60"/>
    </w:lvl>
    <w:lvl w:ilvl="1">
      <w:lvlJc w:val="left"/>
      <w:lvlText w:val="%2"/>
      <w:numFmt w:val="decimal"/>
      <w:start w:val="1"/>
    </w:lvl>
  </w:abstractNum>
  <w:abstractNum w:abstractNumId="33">
    <w:nsid w:val="6B94764"/>
    <w:multiLevelType w:val="hybridMultilevel"/>
    <w:lvl w:ilvl="0">
      <w:lvlJc w:val="left"/>
      <w:lvlText w:val="%1."/>
      <w:numFmt w:val="decimal"/>
      <w:start w:val="61"/>
    </w:lvl>
    <w:lvl w:ilvl="1">
      <w:lvlJc w:val="left"/>
      <w:lvlText w:val="(%2)"/>
      <w:numFmt w:val="decimal"/>
      <w:start w:val="1"/>
    </w:lvl>
    <w:lvl w:ilvl="2">
      <w:lvlJc w:val="left"/>
      <w:lvlText w:val="(%3)"/>
      <w:numFmt w:val="lowerLetter"/>
      <w:start w:val="1"/>
    </w:lvl>
  </w:abstractNum>
  <w:abstractNum w:abstractNumId="34">
    <w:nsid w:val="42C296BD"/>
    <w:multiLevelType w:val="hybridMultilevel"/>
    <w:lvl w:ilvl="0">
      <w:lvlJc w:val="left"/>
      <w:lvlText w:val="%1."/>
      <w:numFmt w:val="decimal"/>
      <w:start w:val="62"/>
    </w:lvl>
  </w:abstractNum>
  <w:abstractNum w:abstractNumId="35">
    <w:nsid w:val="168E121F"/>
    <w:multiLevelType w:val="hybridMultilevel"/>
    <w:lvl w:ilvl="0">
      <w:lvlJc w:val="left"/>
      <w:lvlText w:val="%1."/>
      <w:numFmt w:val="decimal"/>
      <w:start w:val="66"/>
    </w:lvl>
    <w:lvl w:ilvl="1">
      <w:lvlJc w:val="left"/>
      <w:lvlText w:val="(%2)"/>
      <w:numFmt w:val="decimal"/>
      <w:start w:val="2"/>
    </w:lvl>
    <w:lvl w:ilvl="2">
      <w:lvlJc w:val="left"/>
      <w:lvlText w:val="(%3)"/>
      <w:numFmt w:val="lowerLetter"/>
      <w:start w:val="1"/>
    </w:lvl>
  </w:abstractNum>
  <w:abstractNum w:abstractNumId="36">
    <w:nsid w:val="1EBA5D23"/>
    <w:multiLevelType w:val="hybridMultilevel"/>
    <w:lvl w:ilvl="0">
      <w:lvlJc w:val="left"/>
      <w:lvlText w:val="%1."/>
      <w:numFmt w:val="decimal"/>
      <w:start w:val="67"/>
    </w:lvl>
    <w:lvl w:ilvl="1">
      <w:lvlJc w:val="left"/>
      <w:lvlText w:val="(%2)"/>
      <w:numFmt w:val="decimal"/>
      <w:start w:val="2"/>
    </w:lvl>
  </w:abstractNum>
  <w:abstractNum w:abstractNumId="37">
    <w:nsid w:val="661E3F1E"/>
    <w:multiLevelType w:val="hybridMultilevel"/>
    <w:lvl w:ilvl="0">
      <w:lvlJc w:val="left"/>
      <w:lvlText w:val="%1."/>
      <w:numFmt w:val="decimal"/>
      <w:start w:val="73"/>
    </w:lvl>
    <w:lvl w:ilvl="1">
      <w:lvlJc w:val="left"/>
      <w:lvlText w:val="(%2)"/>
      <w:numFmt w:val="decimal"/>
      <w:start w:val="2"/>
    </w:lvl>
  </w:abstractNum>
  <w:abstractNum w:abstractNumId="38">
    <w:nsid w:val="5DC79EA8"/>
    <w:multiLevelType w:val="hybridMultilevel"/>
    <w:lvl w:ilvl="0">
      <w:lvlJc w:val="left"/>
      <w:lvlText w:val="(%1)"/>
      <w:numFmt w:val="lowerLetter"/>
      <w:start w:val="1"/>
    </w:lvl>
  </w:abstractNum>
  <w:abstractNum w:abstractNumId="39">
    <w:nsid w:val="540A471C"/>
    <w:multiLevelType w:val="hybridMultilevel"/>
    <w:lvl w:ilvl="0">
      <w:lvlJc w:val="left"/>
      <w:lvlText w:val="%1."/>
      <w:numFmt w:val="decimal"/>
      <w:start w:val="75"/>
    </w:lvl>
  </w:abstractNum>
  <w:abstractNum w:abstractNumId="40">
    <w:nsid w:val="7BD3EE7B"/>
    <w:multiLevelType w:val="hybridMultilevel"/>
    <w:lvl w:ilvl="0">
      <w:lvlJc w:val="left"/>
      <w:lvlText w:val="%1."/>
      <w:numFmt w:val="decimal"/>
      <w:start w:val="77"/>
    </w:lvl>
    <w:lvl w:ilvl="1">
      <w:lvlJc w:val="left"/>
      <w:lvlText w:val="(%2)"/>
      <w:numFmt w:val="decimal"/>
      <w:start w:val="2"/>
    </w:lvl>
  </w:abstractNum>
  <w:abstractNum w:abstractNumId="41">
    <w:nsid w:val="51D9C564"/>
    <w:multiLevelType w:val="hybridMultilevel"/>
    <w:lvl w:ilvl="0">
      <w:lvlJc w:val="left"/>
      <w:lvlText w:val="%1."/>
      <w:numFmt w:val="decimal"/>
      <w:start w:val="78"/>
    </w:lvl>
  </w:abstractNum>
  <w:abstractNum w:abstractNumId="42">
    <w:nsid w:val="613EFDC5"/>
    <w:multiLevelType w:val="hybridMultilevel"/>
    <w:lvl w:ilvl="0">
      <w:lvlJc w:val="left"/>
      <w:lvlText w:val="%1."/>
      <w:numFmt w:val="decimal"/>
      <w:start w:val="81"/>
    </w:lvl>
  </w:abstractNum>
  <w:abstractNum w:abstractNumId="43">
    <w:nsid w:val="BF72B14"/>
    <w:multiLevelType w:val="hybridMultilevel"/>
    <w:lvl w:ilvl="0">
      <w:lvlJc w:val="left"/>
      <w:lvlText w:val="(%1)"/>
      <w:numFmt w:val="decimal"/>
      <w:start w:val="2"/>
    </w:lvl>
  </w:abstractNum>
  <w:abstractNum w:abstractNumId="44">
    <w:nsid w:val="11447B73"/>
    <w:multiLevelType w:val="hybridMultilevel"/>
    <w:lvl w:ilvl="0">
      <w:lvlJc w:val="left"/>
      <w:lvlText w:val="%1."/>
      <w:numFmt w:val="decimal"/>
      <w:start w:val="82"/>
    </w:lvl>
  </w:abstractNum>
  <w:abstractNum w:abstractNumId="45">
    <w:nsid w:val="42963E5A"/>
    <w:multiLevelType w:val="hybridMultilevel"/>
    <w:lvl w:ilvl="0">
      <w:lvlJc w:val="left"/>
      <w:lvlText w:val="%1."/>
      <w:numFmt w:val="decimal"/>
      <w:start w:val="83"/>
    </w:lvl>
    <w:lvl w:ilvl="1">
      <w:lvlJc w:val="left"/>
      <w:lvlText w:val="(%2)"/>
      <w:numFmt w:val="decimal"/>
      <w:start w:val="2"/>
    </w:lvl>
  </w:abstractNum>
  <w:abstractNum w:abstractNumId="46">
    <w:nsid w:val="A0382C5"/>
    <w:multiLevelType w:val="hybridMultilevel"/>
    <w:lvl w:ilvl="0">
      <w:lvlJc w:val="left"/>
      <w:lvlText w:val="(%1)"/>
      <w:numFmt w:val="decimal"/>
      <w:start w:val="4"/>
    </w:lvl>
  </w:abstractNum>
  <w:abstractNum w:abstractNumId="47">
    <w:nsid w:val="8F2B15E"/>
    <w:multiLevelType w:val="hybridMultilevel"/>
    <w:lvl w:ilvl="0">
      <w:lvlJc w:val="left"/>
      <w:lvlText w:val="%1."/>
      <w:numFmt w:val="decimal"/>
      <w:start w:val="84"/>
    </w:lvl>
    <w:lvl w:ilvl="1">
      <w:lvlJc w:val="left"/>
      <w:lvlText w:val="(%2)"/>
      <w:numFmt w:val="decimal"/>
      <w:start w:val="2"/>
    </w:lvl>
  </w:abstractNum>
  <w:abstractNum w:abstractNumId="48">
    <w:nsid w:val="1A32234B"/>
    <w:multiLevelType w:val="hybridMultilevel"/>
    <w:lvl w:ilvl="0">
      <w:lvlJc w:val="left"/>
      <w:lvlText w:val="%1."/>
      <w:numFmt w:val="decimal"/>
      <w:start w:val="86"/>
    </w:lvl>
    <w:lvl w:ilvl="1">
      <w:lvlJc w:val="left"/>
      <w:lvlText w:val="(%2)"/>
      <w:numFmt w:val="decimal"/>
      <w:start w:val="1"/>
    </w:lvl>
  </w:abstractNum>
  <w:abstractNum w:abstractNumId="49">
    <w:nsid w:val="3B0FD379"/>
    <w:multiLevelType w:val="hybridMultilevel"/>
    <w:lvl w:ilvl="0">
      <w:lvlJc w:val="left"/>
      <w:lvlText w:val="%1."/>
      <w:numFmt w:val="decimal"/>
      <w:start w:val="87"/>
    </w:lvl>
  </w:abstractNum>
  <w:abstractNum w:abstractNumId="50">
    <w:nsid w:val="68EB2F63"/>
    <w:multiLevelType w:val="hybridMultilevel"/>
    <w:lvl w:ilvl="0">
      <w:lvlJc w:val="left"/>
      <w:lvlText w:val="%1."/>
      <w:numFmt w:val="decimal"/>
      <w:start w:val="89"/>
    </w:lvl>
  </w:abstractNum>
  <w:abstractNum w:abstractNumId="51">
    <w:nsid w:val="4962813B"/>
    <w:multiLevelType w:val="hybridMultilevel"/>
    <w:lvl w:ilvl="0">
      <w:lvlJc w:val="left"/>
      <w:lvlText w:val="%1."/>
      <w:numFmt w:val="decimal"/>
      <w:start w:val="93"/>
    </w:lvl>
  </w:abstractNum>
  <w:abstractNum w:abstractNumId="52">
    <w:nsid w:val="60B6DF70"/>
    <w:multiLevelType w:val="hybridMultilevel"/>
    <w:lvl w:ilvl="0">
      <w:lvlJc w:val="left"/>
      <w:lvlText w:val="%1."/>
      <w:numFmt w:val="decimal"/>
      <w:start w:val="97"/>
    </w:lvl>
    <w:lvl w:ilvl="1">
      <w:lvlJc w:val="left"/>
      <w:lvlText w:val="(%2)"/>
      <w:numFmt w:val="lowerLetter"/>
      <w:start w:val="1"/>
    </w:lvl>
  </w:abstractNum>
  <w:abstractNum w:abstractNumId="53">
    <w:nsid w:val="6A5EE64"/>
    <w:multiLevelType w:val="hybridMultilevel"/>
    <w:lvl w:ilvl="0">
      <w:lvlJc w:val="left"/>
      <w:lvlText w:val="%1"/>
      <w:numFmt w:val="decimal"/>
      <w:start w:val="1"/>
    </w:lvl>
    <w:lvl w:ilvl="1">
      <w:lvlJc w:val="left"/>
      <w:lvlText w:val="(%2)"/>
      <w:numFmt w:val="lowerLetter"/>
      <w:start w:val="3"/>
    </w:lvl>
  </w:abstractNum>
  <w:abstractNum w:abstractNumId="54">
    <w:nsid w:val="14330624"/>
    <w:multiLevelType w:val="hybridMultilevel"/>
    <w:lvl w:ilvl="0">
      <w:lvlJc w:val="left"/>
      <w:lvlText w:val="%1."/>
      <w:numFmt w:val="decimal"/>
      <w:start w:val="98"/>
    </w:lvl>
    <w:lvl w:ilvl="1">
      <w:lvlJc w:val="left"/>
      <w:lvlText w:val="(%2)"/>
      <w:numFmt w:val="lowerLetter"/>
      <w:start w:val="1"/>
    </w:lvl>
  </w:abstractNum>
  <w:abstractNum w:abstractNumId="55">
    <w:nsid w:val="7FFFCA1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56">
    <w:nsid w:val="1A27709E"/>
    <w:multiLevelType w:val="hybridMultilevel"/>
    <w:lvl w:ilvl="0">
      <w:lvlJc w:val="left"/>
      <w:lvlText w:val="%1."/>
      <w:numFmt w:val="decimal"/>
      <w:start w:val="100"/>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57">
    <w:nsid w:val="71EA1109"/>
    <w:multiLevelType w:val="hybridMultilevel"/>
    <w:lvl w:ilvl="0">
      <w:lvlJc w:val="left"/>
      <w:lvlText w:val="(%1)"/>
      <w:numFmt w:val="lowerRoman"/>
      <w:start w:val="2"/>
    </w:lvl>
    <w:lvl w:ilvl="1">
      <w:lvlJc w:val="left"/>
      <w:lvlText w:val="(%2)"/>
      <w:numFmt w:val="lowerLetter"/>
      <w:start w:val="1"/>
    </w:lvl>
  </w:abstractNum>
  <w:abstractNum w:abstractNumId="58">
    <w:nsid w:val="100F59DC"/>
    <w:multiLevelType w:val="hybridMultilevel"/>
    <w:lvl w:ilvl="0">
      <w:lvlJc w:val="left"/>
      <w:lvlText w:val="(%1)"/>
      <w:numFmt w:val="decimal"/>
      <w:start w:val="2"/>
    </w:lvl>
  </w:abstractNum>
  <w:abstractNum w:abstractNumId="59">
    <w:nsid w:val="7FB7E0AA"/>
    <w:multiLevelType w:val="hybridMultilevel"/>
    <w:lvl w:ilvl="0">
      <w:lvlJc w:val="left"/>
      <w:lvlText w:val="%1."/>
      <w:numFmt w:val="decimal"/>
      <w:start w:val="101"/>
    </w:lvl>
    <w:lvl w:ilvl="1">
      <w:lvlJc w:val="left"/>
      <w:lvlText w:val="(%2)"/>
      <w:numFmt w:val="decimal"/>
      <w:start w:val="2"/>
    </w:lvl>
    <w:lvl w:ilvl="2">
      <w:lvlJc w:val="left"/>
      <w:lvlText w:val="(%3)"/>
      <w:numFmt w:val="lowerLetter"/>
      <w:start w:val="1"/>
    </w:lvl>
  </w:abstractNum>
  <w:abstractNum w:abstractNumId="60">
    <w:nsid w:val="6EB5BD4"/>
    <w:multiLevelType w:val="hybridMultilevel"/>
    <w:lvl w:ilvl="0">
      <w:lvlJc w:val="left"/>
      <w:lvlText w:val="%1"/>
      <w:numFmt w:val="decimal"/>
      <w:start w:val="1"/>
    </w:lvl>
    <w:lvl w:ilvl="1">
      <w:lvlJc w:val="left"/>
      <w:lvlText w:val="(%2)"/>
      <w:numFmt w:val="decimal"/>
      <w:start w:val="4"/>
    </w:lvl>
  </w:abstractNum>
  <w:abstractNum w:abstractNumId="61">
    <w:nsid w:val="6F6DD9AC"/>
    <w:multiLevelType w:val="hybridMultilevel"/>
    <w:lvl w:ilvl="0">
      <w:lvlJc w:val="left"/>
      <w:lvlText w:val="%1."/>
      <w:numFmt w:val="decimal"/>
      <w:start w:val="102"/>
    </w:lvl>
    <w:lvl w:ilvl="1">
      <w:lvlJc w:val="left"/>
      <w:lvlText w:val="%2"/>
      <w:numFmt w:val="decimal"/>
      <w:start w:val="1"/>
    </w:lvl>
  </w:abstractNum>
  <w:abstractNum w:abstractNumId="62">
    <w:nsid w:val="94211F2"/>
    <w:multiLevelType w:val="hybridMultilevel"/>
    <w:lvl w:ilvl="0">
      <w:lvlJc w:val="left"/>
      <w:lvlText w:val="%1."/>
      <w:numFmt w:val="decimal"/>
      <w:start w:val="106"/>
    </w:lvl>
  </w:abstractNum>
  <w:abstractNum w:abstractNumId="63">
    <w:nsid w:val="885E1B"/>
    <w:multiLevelType w:val="hybridMultilevel"/>
    <w:lvl w:ilvl="0">
      <w:lvlJc w:val="left"/>
      <w:lvlText w:val="(%1)"/>
      <w:numFmt w:val="decimal"/>
      <w:start w:val="2"/>
    </w:lvl>
  </w:abstractNum>
  <w:abstractNum w:abstractNumId="64">
    <w:nsid w:val="76272110"/>
    <w:multiLevelType w:val="hybridMultilevel"/>
    <w:lvl w:ilvl="0">
      <w:lvlJc w:val="left"/>
      <w:lvlText w:val="%1."/>
      <w:numFmt w:val="decimal"/>
      <w:start w:val="107"/>
    </w:lvl>
    <w:lvl w:ilvl="1">
      <w:lvlJc w:val="left"/>
      <w:lvlText w:val="(%2)"/>
      <w:numFmt w:val="decimal"/>
      <w:start w:val="2"/>
    </w:lvl>
  </w:abstractNum>
  <w:abstractNum w:abstractNumId="65">
    <w:nsid w:val="4C04A8AF"/>
    <w:multiLevelType w:val="hybridMultilevel"/>
    <w:lvl w:ilvl="0">
      <w:lvlJc w:val="left"/>
      <w:lvlText w:val="%1."/>
      <w:numFmt w:val="decimal"/>
      <w:start w:val="111"/>
    </w:lvl>
    <w:lvl w:ilvl="1">
      <w:lvlJc w:val="left"/>
      <w:lvlText w:val="(%2)"/>
      <w:numFmt w:val="decimal"/>
      <w:start w:val="2"/>
    </w:lvl>
  </w:abstractNum>
  <w:abstractNum w:abstractNumId="66">
    <w:nsid w:val="1716703B"/>
    <w:multiLevelType w:val="hybridMultilevel"/>
    <w:lvl w:ilvl="0">
      <w:lvlJc w:val="left"/>
      <w:lvlText w:val="%1."/>
      <w:numFmt w:val="decimal"/>
      <w:start w:val="117"/>
    </w:lvl>
    <w:lvl w:ilvl="1">
      <w:lvlJc w:val="left"/>
      <w:lvlText w:val="(%2)"/>
      <w:numFmt w:val="decimal"/>
      <w:start w:val="2"/>
    </w:lvl>
  </w:abstractNum>
  <w:abstractNum w:abstractNumId="67">
    <w:nsid w:val="14E17E33"/>
    <w:multiLevelType w:val="hybridMultilevel"/>
    <w:lvl w:ilvl="0">
      <w:lvlJc w:val="left"/>
      <w:lvlText w:val="%1."/>
      <w:numFmt w:val="decimal"/>
      <w:start w:val="121"/>
    </w:lvl>
  </w:abstractNum>
  <w:abstractNum w:abstractNumId="68">
    <w:nsid w:val="3222E7CD"/>
    <w:multiLevelType w:val="hybridMultilevel"/>
    <w:lvl w:ilvl="0">
      <w:lvlJc w:val="left"/>
      <w:lvlText w:val="%1."/>
      <w:numFmt w:val="decimal"/>
      <w:start w:val="124"/>
    </w:lvl>
    <w:lvl w:ilvl="1">
      <w:lvlJc w:val="left"/>
      <w:lvlText w:val="(%2)"/>
      <w:numFmt w:val="decimal"/>
      <w:start w:val="2"/>
    </w:lvl>
  </w:abstractNum>
  <w:abstractNum w:abstractNumId="69">
    <w:nsid w:val="74DE0EE3"/>
    <w:multiLevelType w:val="hybridMultilevel"/>
    <w:lvl w:ilvl="0">
      <w:lvlJc w:val="left"/>
      <w:lvlText w:val="%1."/>
      <w:numFmt w:val="decimal"/>
      <w:start w:val="127"/>
    </w:lvl>
  </w:abstractNum>
  <w:abstractNum w:abstractNumId="70">
    <w:nsid w:val="68EBC550"/>
    <w:multiLevelType w:val="hybridMultilevel"/>
    <w:lvl w:ilvl="0">
      <w:lvlJc w:val="left"/>
      <w:lvlText w:val="%1."/>
      <w:numFmt w:val="decimal"/>
      <w:start w:val="128"/>
    </w:lvl>
  </w:abstractNum>
  <w:abstractNum w:abstractNumId="71">
    <w:nsid w:val="2DF6D648"/>
    <w:multiLevelType w:val="hybridMultilevel"/>
    <w:lvl w:ilvl="0">
      <w:lvlJc w:val="left"/>
      <w:lvlText w:val="%1."/>
      <w:numFmt w:val="decimal"/>
      <w:start w:val="129"/>
    </w:lvl>
    <w:lvl w:ilvl="1">
      <w:lvlJc w:val="left"/>
      <w:lvlText w:val="(%2)"/>
      <w:numFmt w:val="decimal"/>
      <w:start w:val="1"/>
    </w:lvl>
    <w:lvl w:ilvl="2">
      <w:lvlJc w:val="left"/>
      <w:lvlText w:val="(%3)"/>
      <w:numFmt w:val="lowerLetter"/>
      <w:start w:val="1"/>
    </w:lvl>
  </w:abstractNum>
  <w:abstractNum w:abstractNumId="72">
    <w:nsid w:val="46B7D447"/>
    <w:multiLevelType w:val="hybridMultilevel"/>
    <w:lvl w:ilvl="0">
      <w:lvlJc w:val="left"/>
      <w:lvlText w:val="%1."/>
      <w:numFmt w:val="decimal"/>
      <w:start w:val="130"/>
    </w:lvl>
  </w:abstractNum>
  <w:abstractNum w:abstractNumId="73">
    <w:nsid w:val="4A2AC315"/>
    <w:multiLevelType w:val="hybridMultilevel"/>
    <w:lvl w:ilvl="0">
      <w:lvlJc w:val="left"/>
      <w:lvlText w:val="(%1)"/>
      <w:numFmt w:val="decimal"/>
      <w:start w:val="2"/>
    </w:lvl>
  </w:abstractNum>
  <w:abstractNum w:abstractNumId="74">
    <w:nsid w:val="39EE015C"/>
    <w:multiLevelType w:val="hybridMultilevel"/>
    <w:lvl w:ilvl="0">
      <w:lvlJc w:val="left"/>
      <w:lvlText w:val="%1."/>
      <w:numFmt w:val="decimal"/>
      <w:start w:val="131"/>
    </w:lvl>
  </w:abstractNum>
  <w:abstractNum w:abstractNumId="75">
    <w:nsid w:val="57FC4FBB"/>
    <w:multiLevelType w:val="hybridMultilevel"/>
    <w:lvl w:ilvl="0">
      <w:lvlJc w:val="left"/>
      <w:lvlText w:val="%1."/>
      <w:numFmt w:val="decimal"/>
      <w:start w:val="132"/>
    </w:lvl>
    <w:lvl w:ilvl="1">
      <w:lvlJc w:val="left"/>
      <w:lvlText w:val="(%2)"/>
      <w:numFmt w:val="lowerLetter"/>
      <w:start w:val="1"/>
    </w:lvl>
  </w:abstractNum>
  <w:abstractNum w:abstractNumId="76">
    <w:nsid w:val="CC1016F"/>
    <w:multiLevelType w:val="hybridMultilevel"/>
    <w:lvl w:ilvl="0">
      <w:lvlJc w:val="left"/>
      <w:lvlText w:val="%1"/>
      <w:numFmt w:val="decimal"/>
      <w:start w:val="1"/>
    </w:lvl>
    <w:lvl w:ilvl="1">
      <w:lvlJc w:val="left"/>
      <w:lvlText w:val="(%2)"/>
      <w:numFmt w:val="lowerLetter"/>
      <w:start w:val="5"/>
    </w:lvl>
  </w:abstractNum>
  <w:abstractNum w:abstractNumId="77">
    <w:nsid w:val="43F18422"/>
    <w:multiLevelType w:val="hybridMultilevel"/>
    <w:lvl w:ilvl="0">
      <w:lvlJc w:val="left"/>
      <w:lvlText w:val="(%1)"/>
      <w:numFmt w:val="decimal"/>
      <w:start w:val="2"/>
    </w:lvl>
    <w:lvl w:ilvl="1">
      <w:lvlJc w:val="left"/>
      <w:lvlText w:val="%2"/>
      <w:numFmt w:val="lowerLetter"/>
      <w:start w:val="1"/>
    </w:lvl>
  </w:abstractNum>
  <w:abstractNum w:abstractNumId="78">
    <w:nsid w:val="60EF0119"/>
    <w:multiLevelType w:val="hybridMultilevel"/>
    <w:lvl w:ilvl="0">
      <w:lvlJc w:val="left"/>
      <w:lvlText w:val="%1."/>
      <w:numFmt w:val="decimal"/>
      <w:start w:val="133"/>
    </w:lvl>
    <w:lvl w:ilvl="1">
      <w:lvlJc w:val="left"/>
      <w:lvlText w:val="(%2)"/>
      <w:numFmt w:val="lowerLetter"/>
      <w:start w:val="1"/>
    </w:lvl>
  </w:abstractNum>
  <w:abstractNum w:abstractNumId="79">
    <w:nsid w:val="26F324BA"/>
    <w:multiLevelType w:val="hybridMultilevel"/>
    <w:lvl w:ilvl="0">
      <w:lvlJc w:val="left"/>
      <w:lvlText w:val="%1"/>
      <w:numFmt w:val="decimal"/>
      <w:start w:val="1"/>
    </w:lvl>
    <w:lvl w:ilvl="1">
      <w:lvlJc w:val="left"/>
      <w:lvlText w:val="(%2)"/>
      <w:numFmt w:val="lowerLetter"/>
      <w:start w:val="2"/>
    </w:lvl>
  </w:abstractNum>
  <w:abstractNum w:abstractNumId="80">
    <w:nsid w:val="7F01579B"/>
    <w:multiLevelType w:val="hybridMultilevel"/>
    <w:lvl w:ilvl="0">
      <w:lvlJc w:val="left"/>
      <w:lvlText w:val="%1."/>
      <w:numFmt w:val="decimal"/>
      <w:start w:val="136"/>
    </w:lvl>
    <w:lvl w:ilvl="1">
      <w:lvlJc w:val="left"/>
      <w:lvlText w:val="%2"/>
      <w:numFmt w:val="lowerLetter"/>
      <w:start w:val="1"/>
    </w:lvl>
  </w:abstractNum>
  <w:abstractNum w:abstractNumId="81">
    <w:nsid w:val="49DA307D"/>
    <w:multiLevelType w:val="hybridMultilevel"/>
    <w:lvl w:ilvl="0">
      <w:lvlJc w:val="left"/>
      <w:lvlText w:val="%1."/>
      <w:numFmt w:val="decimal"/>
      <w:start w:val="141"/>
    </w:lvl>
    <w:lvl w:ilvl="1">
      <w:lvlJc w:val="left"/>
      <w:lvlText w:val="(%2)"/>
      <w:numFmt w:val="lowerLetter"/>
      <w:start w:val="1"/>
    </w:lvl>
    <w:lvl w:ilvl="2">
      <w:lvlJc w:val="left"/>
      <w:lvlText w:val="(%3)"/>
      <w:numFmt w:val="lowerRoman"/>
      <w:start w:val="1"/>
    </w:lvl>
  </w:abstractNum>
  <w:abstractNum w:abstractNumId="82">
    <w:nsid w:val="7055A5F5"/>
    <w:multiLevelType w:val="hybridMultilevel"/>
    <w:lvl w:ilvl="0">
      <w:lvlJc w:val="left"/>
      <w:lvlText w:val="%1"/>
      <w:numFmt w:val="lowerLetter"/>
      <w:start w:val="1"/>
    </w:lvl>
    <w:lvl w:ilvl="1">
      <w:lvlJc w:val="left"/>
      <w:lvlText w:val="(%2)"/>
      <w:numFmt w:val="lowerRoman"/>
      <w:start w:val="4"/>
    </w:lvl>
  </w:abstractNum>
  <w:abstractNum w:abstractNumId="83">
    <w:nsid w:val="5FB8370B"/>
    <w:multiLevelType w:val="hybridMultilevel"/>
    <w:lvl w:ilvl="0">
      <w:lvlJc w:val="left"/>
      <w:lvlText w:val="(%1)"/>
      <w:numFmt w:val="lowerLetter"/>
      <w:start w:val="2"/>
    </w:lvl>
    <w:lvl w:ilvl="1">
      <w:lvlJc w:val="left"/>
      <w:lvlText w:val="(%2)"/>
      <w:numFmt w:val="lowerRoman"/>
      <w:start w:val="1"/>
    </w:lvl>
  </w:abstractNum>
  <w:abstractNum w:abstractNumId="84">
    <w:nsid w:val="50801EE1"/>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lvl w:ilvl="3">
      <w:lvlJc w:val="left"/>
      <w:lvlText w:val="(%4)"/>
      <w:numFmt w:val="lowerLetter"/>
      <w:start w:val="2"/>
    </w:lvl>
  </w:abstractNum>
  <w:abstractNum w:abstractNumId="85">
    <w:nsid w:val="488AC1A"/>
    <w:multiLevelType w:val="hybridMultilevel"/>
    <w:lvl w:ilvl="0">
      <w:lvlJc w:val="left"/>
      <w:lvlText w:val="%1."/>
      <w:numFmt w:val="decimal"/>
      <w:start w:val="143"/>
    </w:lvl>
    <w:lvl w:ilvl="1">
      <w:lvlJc w:val="left"/>
      <w:lvlText w:val="(%2)"/>
      <w:numFmt w:val="decimal"/>
      <w:start w:val="2"/>
    </w:lvl>
  </w:abstractNum>
  <w:abstractNum w:abstractNumId="86">
    <w:nsid w:val="5FB8011C"/>
    <w:multiLevelType w:val="hybridMultilevel"/>
    <w:lvl w:ilvl="0">
      <w:lvlJc w:val="left"/>
      <w:lvlText w:val="%1."/>
      <w:numFmt w:val="decimal"/>
      <w:start w:val="144"/>
    </w:lvl>
  </w:abstractNum>
  <w:abstractNum w:abstractNumId="87">
    <w:nsid w:val="6AA78F7F"/>
    <w:multiLevelType w:val="hybridMultilevel"/>
    <w:lvl w:ilvl="0">
      <w:lvlJc w:val="left"/>
      <w:lvlText w:val="%1"/>
      <w:numFmt w:val="decimal"/>
      <w:start w:val="1"/>
    </w:lvl>
    <w:lvl w:ilvl="1">
      <w:lvlJc w:val="left"/>
      <w:lvlText w:val="(%2)"/>
      <w:numFmt w:val="decimal"/>
      <w:start w:val="2"/>
    </w:lvl>
  </w:abstractNum>
  <w:abstractNum w:abstractNumId="88">
    <w:nsid w:val="7672BD23"/>
    <w:multiLevelType w:val="hybridMultilevel"/>
    <w:lvl w:ilvl="0">
      <w:lvlJc w:val="left"/>
      <w:lvlText w:val="%1."/>
      <w:numFmt w:val="decimal"/>
      <w:start w:val="145"/>
    </w:lvl>
    <w:lvl w:ilvl="1">
      <w:lvlJc w:val="left"/>
      <w:lvlText w:val="%2"/>
      <w:numFmt w:val="decimal"/>
      <w:start w:val="1"/>
    </w:lvl>
  </w:abstractNum>
  <w:abstractNum w:abstractNumId="89">
    <w:nsid w:val="6FC75AF8"/>
    <w:multiLevelType w:val="hybridMultilevel"/>
    <w:lvl w:ilvl="0">
      <w:lvlJc w:val="left"/>
      <w:lvlText w:val="%1."/>
      <w:numFmt w:val="decimal"/>
      <w:start w:val="146"/>
    </w:lvl>
    <w:lvl w:ilvl="1">
      <w:lvlJc w:val="left"/>
      <w:lvlText w:val="(%2)"/>
      <w:numFmt w:val="decimal"/>
      <w:start w:val="1"/>
    </w:lvl>
    <w:lvl w:ilvl="2">
      <w:lvlJc w:val="left"/>
      <w:lvlText w:val="(%3)"/>
      <w:numFmt w:val="lowerLetter"/>
      <w:start w:val="1"/>
    </w:lvl>
  </w:abstractNum>
  <w:abstractNum w:abstractNumId="90">
    <w:nsid w:val="6A5F7029"/>
    <w:multiLevelType w:val="hybridMultilevel"/>
    <w:lvl w:ilvl="0">
      <w:lvlJc w:val="left"/>
      <w:lvlText w:val="(%1)"/>
      <w:numFmt w:val="lowerLetter"/>
      <w:start w:val="2"/>
    </w:lvl>
    <w:lvl w:ilvl="1">
      <w:lvlJc w:val="left"/>
      <w:lvlText w:val="(%2)"/>
      <w:numFmt w:val="lowerRoman"/>
      <w:start w:val="1"/>
    </w:lvl>
  </w:abstractNum>
  <w:abstractNum w:abstractNumId="91">
    <w:nsid w:val="7D5E18F8"/>
    <w:multiLevelType w:val="hybridMultilevel"/>
    <w:lvl w:ilvl="0">
      <w:lvlJc w:val="left"/>
      <w:lvlText w:val="(%1)"/>
      <w:numFmt w:val="decimal"/>
      <w:start w:val="2"/>
    </w:lvl>
  </w:abstractNum>
  <w:abstractNum w:abstractNumId="92">
    <w:nsid w:val="5F3534A4"/>
    <w:multiLevelType w:val="hybridMultilevel"/>
    <w:lvl w:ilvl="0">
      <w:lvlJc w:val="left"/>
      <w:lvlText w:val="%1."/>
      <w:numFmt w:val="decimal"/>
      <w:start w:val="147"/>
    </w:lvl>
  </w:abstractNum>
  <w:abstractNum w:abstractNumId="93">
    <w:nsid w:val="73A1821B"/>
    <w:multiLevelType w:val="hybridMultilevel"/>
    <w:lvl w:ilvl="0">
      <w:lvlJc w:val="left"/>
      <w:lvlText w:val="%1."/>
      <w:numFmt w:val="decimal"/>
      <w:start w:val="150"/>
    </w:lvl>
  </w:abstractNum>
  <w:abstractNum w:abstractNumId="94">
    <w:nsid w:val="7DE67713"/>
    <w:multiLevelType w:val="hybridMultilevel"/>
    <w:lvl w:ilvl="0">
      <w:lvlJc w:val="left"/>
      <w:lvlText w:val="%1."/>
      <w:numFmt w:val="decimal"/>
      <w:start w:val="152"/>
    </w:lvl>
    <w:lvl w:ilvl="1">
      <w:lvlJc w:val="left"/>
      <w:lvlText w:val="(%2)"/>
      <w:numFmt w:val="decimal"/>
      <w:start w:val="2"/>
    </w:lvl>
  </w:abstractNum>
  <w:abstractNum w:abstractNumId="95">
    <w:nsid w:val="555C55B5"/>
    <w:multiLevelType w:val="hybridMultilevel"/>
    <w:lvl w:ilvl="0">
      <w:lvlJc w:val="left"/>
      <w:lvlText w:val="%1."/>
      <w:numFmt w:val="decimal"/>
      <w:start w:val="156"/>
    </w:lvl>
  </w:abstractNum>
  <w:abstractNum w:abstractNumId="96">
    <w:nsid w:val="3FA62ACA"/>
    <w:multiLevelType w:val="hybridMultilevel"/>
    <w:lvl w:ilvl="0">
      <w:lvlJc w:val="left"/>
      <w:lvlText w:val="%1."/>
      <w:numFmt w:val="decimal"/>
      <w:start w:val="158"/>
    </w:lvl>
    <w:lvl w:ilvl="1">
      <w:lvlJc w:val="left"/>
      <w:lvlText w:val="(%2)"/>
      <w:numFmt w:val="lowerLetter"/>
      <w:start w:val="1"/>
    </w:lvl>
  </w:abstractNum>
  <w:abstractNum w:abstractNumId="97">
    <w:nsid w:val="14FCE74E"/>
    <w:multiLevelType w:val="hybridMultilevel"/>
    <w:lvl w:ilvl="0">
      <w:lvlJc w:val="left"/>
      <w:lvlText w:val="%1"/>
      <w:numFmt w:val="decimal"/>
      <w:start w:val="1"/>
    </w:lvl>
    <w:lvl w:ilvl="1">
      <w:lvlJc w:val="left"/>
      <w:lvlText w:val="(%2)"/>
      <w:numFmt w:val="decimal"/>
      <w:start w:val="2"/>
    </w:lvl>
  </w:abstractNum>
  <w:abstractNum w:abstractNumId="98">
    <w:nsid w:val="6A3DD3E8"/>
    <w:multiLevelType w:val="hybridMultilevel"/>
    <w:lvl w:ilvl="0">
      <w:lvlJc w:val="left"/>
      <w:lvlText w:val="%1."/>
      <w:numFmt w:val="decimal"/>
      <w:start w:val="159"/>
    </w:lvl>
    <w:lvl w:ilvl="1">
      <w:lvlJc w:val="left"/>
      <w:lvlText w:val="%2"/>
      <w:numFmt w:val="decimal"/>
      <w:start w:val="1"/>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decimal"/>
      <w:start w:val="160"/>
    </w:lvl>
    <w:lvl w:ilvl="1">
      <w:lvlJc w:val="left"/>
      <w:lvlText w:val="(%2)"/>
      <w:numFmt w:val="decimal"/>
      <w:start w:val="2"/>
    </w:lvl>
  </w:abstractNum>
  <w:abstractNum w:abstractNumId="101">
    <w:nsid w:val="53299938"/>
    <w:multiLevelType w:val="hybridMultilevel"/>
    <w:lvl w:ilvl="0">
      <w:lvlJc w:val="left"/>
      <w:lvlText w:val="%1."/>
      <w:numFmt w:val="decimal"/>
      <w:start w:val="161"/>
    </w:lvl>
  </w:abstractNum>
  <w:abstractNum w:abstractNumId="102">
    <w:nsid w:val="1FBFE8E0"/>
    <w:multiLevelType w:val="hybridMultilevel"/>
    <w:lvl w:ilvl="0">
      <w:lvlJc w:val="left"/>
      <w:lvlText w:val="%1."/>
      <w:numFmt w:val="decimal"/>
      <w:start w:val="162"/>
    </w:lvl>
    <w:lvl w:ilvl="1">
      <w:lvlJc w:val="left"/>
      <w:lvlText w:val="(%2)"/>
      <w:numFmt w:val="decimal"/>
      <w:start w:val="2"/>
    </w:lvl>
  </w:abstractNum>
  <w:abstractNum w:abstractNumId="103">
    <w:nsid w:val="5092CA79"/>
    <w:multiLevelType w:val="hybridMultilevel"/>
    <w:lvl w:ilvl="0">
      <w:lvlJc w:val="left"/>
      <w:lvlText w:val="%1."/>
      <w:numFmt w:val="decimal"/>
      <w:start w:val="163"/>
    </w:lvl>
    <w:lvl w:ilvl="1">
      <w:lvlJc w:val="left"/>
      <w:lvlText w:val="(%2)"/>
      <w:numFmt w:val="decimal"/>
      <w:start w:val="2"/>
    </w:lvl>
  </w:abstractNum>
  <w:abstractNum w:abstractNumId="104">
    <w:nsid w:val="1D545C4D"/>
    <w:multiLevelType w:val="hybridMultilevel"/>
    <w:lvl w:ilvl="0">
      <w:lvlJc w:val="left"/>
      <w:lvlText w:val="%1."/>
      <w:numFmt w:val="decimal"/>
      <w:start w:val="164"/>
    </w:lvl>
  </w:abstractNum>
  <w:abstractNum w:abstractNumId="105">
    <w:nsid w:val="59ADEA3D"/>
    <w:multiLevelType w:val="hybridMultilevel"/>
    <w:lvl w:ilvl="0">
      <w:lvlJc w:val="left"/>
      <w:lvlText w:val="(%1)"/>
      <w:numFmt w:val="decimal"/>
      <w:start w:val="2"/>
    </w:lvl>
  </w:abstractNum>
  <w:abstractNum w:abstractNumId="106">
    <w:nsid w:val="288F1A34"/>
    <w:multiLevelType w:val="hybridMultilevel"/>
    <w:lvl w:ilvl="0">
      <w:lvlJc w:val="left"/>
      <w:lvlText w:val="%1."/>
      <w:numFmt w:val="decimal"/>
      <w:start w:val="165"/>
    </w:lvl>
  </w:abstractNum>
  <w:abstractNum w:abstractNumId="107">
    <w:nsid w:val="2A155DBC"/>
    <w:multiLevelType w:val="hybridMultilevel"/>
    <w:lvl w:ilvl="0">
      <w:lvlJc w:val="left"/>
      <w:lvlText w:val="%1."/>
      <w:numFmt w:val="decimal"/>
      <w:start w:val="167"/>
    </w:lvl>
  </w:abstractNum>
  <w:abstractNum w:abstractNumId="108">
    <w:nsid w:val="1D9F6E5F"/>
    <w:multiLevelType w:val="hybridMultilevel"/>
    <w:lvl w:ilvl="0">
      <w:lvlJc w:val="left"/>
      <w:lvlText w:val="%1."/>
      <w:numFmt w:val="decimal"/>
      <w:start w:val="16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2026-06-12T06:18:12Z</dcterms:created>
  <dcterms:modified xsi:type="dcterms:W3CDTF">2026-06-12T06:18:12Z</dcterms:modified>
</cp:coreProperties>
</file>