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0712d1_6k.htm"/>
      <w:bookmarkStart w:id="1" w:name="kstm2610712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March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001-42101</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SUPER HI INTERNATIONAL HOLDING LTD.</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Paya Lebar Link, #09-04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PLQ 1 Paya Lebar Quarter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408533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+65 6378 1921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28" w:type="dxa"/>
          <w:right w:w="0" w:type="dxa"/>
        </w:tblCellMar>
      </w:tblPr>
      <w:tblGrid>
        <w:gridCol w:w="1055"/>
        <w:gridCol w:w="60"/>
        <w:gridCol w:w="8315"/>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31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15"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610712d1_ex99-1.htm">
              <w:r>
                <w:rPr>
                  <w:rStyle w:val="InternetLink"/>
                  <w:rFonts w:ascii="Times New Roman;Times;Serif" w:hAnsi="Times New Roman;Times;Serif"/>
                  <w:sz w:val="20"/>
                  <w:u w:val="single"/>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8315" w:type="dxa"/>
            <w:tcBorders/>
            <w:tcMar>
              <w:bottom w:w="0" w:type="dxa"/>
            </w:tcMar>
            <w:vAlign w:val="center"/>
          </w:tcPr>
          <w:p>
            <w:pPr>
              <w:pStyle w:val="TableContents"/>
              <w:bidi w:val="0"/>
              <w:spacing w:before="0" w:after="283"/>
              <w:jc w:val="left"/>
              <w:rPr/>
            </w:pPr>
            <w:hyperlink w:anchor="tm2610712d1_ex99-1.htm">
              <w:r>
                <w:rPr>
                  <w:rStyle w:val="InternetLink"/>
                  <w:rFonts w:ascii="Times New Roman;Times;Serif" w:hAnsi="Times New Roman;Times;Serif"/>
                  <w:sz w:val="20"/>
                </w:rPr>
                <w:t>Press Release-Super Hi Reports Unaudited Financial Results for the Fourth Quarter and Full Year 2025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860"/>
        <w:gridCol w:w="2969"/>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HI INTERNATIONAL HOLDING LTD.</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Ping Shu</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Ping Shu</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10712d1_ex99-1.htm"/>
      <w:bookmarkStart w:id="3" w:name="kstm2610712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3835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647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SUPER HI INTERNATIONAL HOLDING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eastAsia="Times New Roman;Times;Serif"/>
          <w:b w:val="false"/>
          <w:i w:val="false"/>
          <w:caps w:val="false"/>
          <w:smallCaps w:val="false"/>
          <w:sz w:val="20"/>
        </w:rPr>
      </w:pPr>
      <w:r>
        <w:rPr>
          <w:rFonts w:eastAsia="Times New Roman;Times;Serif"/>
          <w:b/>
          <w:i w:val="false"/>
          <w:caps w:val="false"/>
          <w:smallCaps w:val="false"/>
          <w:sz w:val="20"/>
        </w:rPr>
        <w:t>特 海 国 际 控 股 有 限 公 司</w:t>
      </w:r>
      <w:r>
        <w:rPr>
          <w:rFonts w:eastAsia="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(Incorporated in the Cayman Islands with limited liability)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(HKEX Stock Code: 9658; NASDAQ Symbol: HDL)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 INFORMATION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ANNOUNCEMENT OF FOURTH QUARTER AND FISCAL YEAR 2025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made by SUPER HI INTERNATIONAL HOLDING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pursuant to Rule 13.09(2)(a) of the Rules Governing the Listing of Securities on The Stock Exchange of Hong Kong Limited (the “</w:t>
      </w:r>
      <w:r>
        <w:rPr>
          <w:rFonts w:ascii="Times New Roman;Times;Serif" w:hAnsi="Times New Roman;Times;Serif"/>
          <w:b/>
          <w:i w:val="false"/>
          <w:caps w:val="false"/>
          <w:smallCaps w:val="false"/>
          <w:sz w:val="20"/>
        </w:rPr>
        <w:t>Listing Rules</w:t>
      </w:r>
      <w:r>
        <w:rPr>
          <w:rFonts w:ascii="Times New Roman;Times;Serif" w:hAnsi="Times New Roman;Times;Serif"/>
          <w:b w:val="false"/>
          <w:i w:val="false"/>
          <w:caps w:val="false"/>
          <w:smallCaps w:val="false"/>
          <w:sz w:val="20"/>
        </w:rPr>
        <w:t>”) and the Inside Information Provisions (as defined in the Listing Rules) under Part XIVA of the Securities and Futures Ordinance (Chapter 571 of the Laws of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pleased to announce the unaudited financial results of the Company and its subsidiaries for the three months ended December 31, 2025 and the financial results for the year ended December 31, 2025 (the “</w:t>
      </w:r>
      <w:r>
        <w:rPr>
          <w:rFonts w:ascii="Times New Roman;Times;Serif" w:hAnsi="Times New Roman;Times;Serif"/>
          <w:b/>
          <w:i w:val="false"/>
          <w:caps w:val="false"/>
          <w:smallCaps w:val="false"/>
          <w:sz w:val="20"/>
        </w:rPr>
        <w:t>Q4 and FY Results</w:t>
      </w:r>
      <w:r>
        <w:rPr>
          <w:rFonts w:ascii="Times New Roman;Times;Serif" w:hAnsi="Times New Roman;Times;Serif"/>
          <w:b w:val="false"/>
          <w:i w:val="false"/>
          <w:caps w:val="false"/>
          <w:smallCaps w:val="false"/>
          <w:sz w:val="20"/>
        </w:rPr>
        <w:t>”). Attached hereto is the full text of the earnings release issued by the Company on March 31, 2026 (U.S. Eastern Time) in relation to the Q4 and FY Results, some contents of which may constitute inside information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the Company and potential investors are advised not to place undue reliance on the Q4 and FY Results and to exercise caution when dealing in the securities of the Company.</w:t>
      </w:r>
    </w:p>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75"/>
        <w:gridCol w:w="4100"/>
      </w:tblGrid>
      <w:tr>
        <w:trPr/>
        <w:tc>
          <w:tcPr>
            <w:tcW w:w="75"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 HI INTERNATIONAL HOLDING LTD.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Ms. SHU Ping</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Chairlady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of the date of this announcement, the board of directors comprises Ms. SHU Ping as the chairlady and non-executive director, Ms. June YANG Lijuan, Mr. LI Yu and Ms. LIU Li as executive directors; and Mr. TAN Kang Uei, Anthony, Mr. TEO Ser Luck and Mr. LIEN Jown Jing Vincent as independent non-executive directors.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 Hi Reports Unaudited Financial Results for the Fourth Quarter and Full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SINGAPORE, March 31, 2026 (GLOBE NEWSWIRE) </w:t>
      </w:r>
      <w:r>
        <w:rPr>
          <w:rFonts w:eastAsia="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Super Hi International Holding Ltd. (NASDAQ: HDL and HKEX: 9658) (“Super Hi” or the “Company”), a leading Chinese cuisine restaurant brand operating Haidilao hot pot restaurants in the international market, today announced its unaudited financial results for the fourth quarter and the full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2025 Highlights</w:t>
      </w:r>
    </w:p>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110"/>
        <w:gridCol w:w="959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90" w:type="dxa"/>
            <w:tcBorders/>
            <w:vAlign w:val="center"/>
          </w:tcPr>
          <w:p>
            <w:pPr>
              <w:pStyle w:val="TableContents"/>
              <w:bidi w:val="0"/>
              <w:spacing w:before="0" w:after="283"/>
              <w:jc w:val="both"/>
              <w:rPr>
                <w:sz w:val="20"/>
              </w:rPr>
            </w:pPr>
            <w:r>
              <w:rPr>
                <w:b/>
                <w:sz w:val="20"/>
              </w:rPr>
              <w:t xml:space="preserve">Revenue </w:t>
            </w:r>
            <w:r>
              <w:rPr>
                <w:sz w:val="20"/>
              </w:rPr>
              <w:t>was US$230.0 million, representing an increase of 10.2% from US$208.8 million in the same period of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In the fourth quarter of 2025, the Company opened 3 new Haidilao restaurants and closed 3 Haidilao restaurants. Two of these closures represent strategic conversions to the Company’s secondary brand portfolio. The total number of Haidilao restaurants as of December 31, 2025 was 126, reflecting a net increase of 4 since December 31,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b/>
                <w:sz w:val="20"/>
              </w:rPr>
              <w:t>Overall average table turnover rate</w:t>
            </w:r>
            <w:r>
              <w:rPr>
                <w:b/>
                <w:position w:val="7"/>
                <w:sz w:val="16"/>
                <w:sz w:val="20"/>
              </w:rPr>
              <w:t>1</w:t>
            </w:r>
            <w:r>
              <w:rPr>
                <w:sz w:val="20"/>
              </w:rPr>
              <w:t xml:space="preserve"> was 4.0 times per day, compared to 3.9 times per day in the same period of 2024. </w:t>
            </w:r>
            <w:r>
              <w:rPr>
                <w:b/>
                <w:sz w:val="20"/>
              </w:rPr>
              <w:t>Overall average same-store table turnover rate</w:t>
            </w:r>
            <w:r>
              <w:rPr>
                <w:b/>
                <w:position w:val="7"/>
                <w:sz w:val="16"/>
                <w:sz w:val="20"/>
              </w:rPr>
              <w:t>2</w:t>
            </w:r>
            <w:r>
              <w:rPr>
                <w:b/>
                <w:sz w:val="20"/>
              </w:rPr>
              <w:t xml:space="preserve"> </w:t>
            </w:r>
            <w:r>
              <w:rPr>
                <w:sz w:val="20"/>
              </w:rPr>
              <w:t>was 4.1 times per day, compared to 4.0 times per day in the same period of 2024.</w:t>
            </w:r>
          </w:p>
        </w:tc>
      </w:tr>
    </w:tbl>
    <w:p>
      <w:pPr>
        <w:pStyle w:val="TextBody"/>
        <w:bidi w:val="0"/>
        <w:spacing w:before="0" w:after="0"/>
        <w:ind w:left="0" w:right="0" w:hanging="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110"/>
        <w:gridCol w:w="944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40" w:type="dxa"/>
            <w:tcBorders/>
            <w:vAlign w:val="center"/>
          </w:tcPr>
          <w:p>
            <w:pPr>
              <w:pStyle w:val="TableContents"/>
              <w:bidi w:val="0"/>
              <w:spacing w:before="0" w:after="283"/>
              <w:jc w:val="both"/>
              <w:rPr>
                <w:sz w:val="20"/>
              </w:rPr>
            </w:pPr>
            <w:r>
              <w:rPr>
                <w:sz w:val="20"/>
              </w:rPr>
              <w:t xml:space="preserve">Had over 8.3 million </w:t>
            </w:r>
            <w:r>
              <w:rPr>
                <w:b/>
                <w:sz w:val="20"/>
              </w:rPr>
              <w:t>total guest visits</w:t>
            </w:r>
            <w:r>
              <w:rPr>
                <w:sz w:val="20"/>
              </w:rPr>
              <w:t>, representing an increase of 3.8% from 8.0 million in the same period of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b/>
                <w:sz w:val="20"/>
              </w:rPr>
              <w:t>Same-store sales</w:t>
            </w:r>
            <w:r>
              <w:rPr>
                <w:b/>
                <w:position w:val="7"/>
                <w:sz w:val="16"/>
                <w:sz w:val="20"/>
              </w:rPr>
              <w:t>3</w:t>
            </w:r>
            <w:r>
              <w:rPr>
                <w:b/>
                <w:sz w:val="20"/>
              </w:rPr>
              <w:t xml:space="preserve"> </w:t>
            </w:r>
            <w:r>
              <w:rPr>
                <w:sz w:val="20"/>
              </w:rPr>
              <w:t>were US$195.4 million, representing an increase of 2.3% from US$191.1 million in the same period of 2024.</w:t>
            </w:r>
          </w:p>
        </w:tc>
      </w:tr>
    </w:tbl>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110"/>
        <w:gridCol w:w="857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570" w:type="dxa"/>
            <w:tcBorders/>
            <w:vAlign w:val="center"/>
          </w:tcPr>
          <w:p>
            <w:pPr>
              <w:pStyle w:val="TableContents"/>
              <w:bidi w:val="0"/>
              <w:spacing w:before="0" w:after="283"/>
              <w:jc w:val="both"/>
              <w:rPr>
                <w:sz w:val="20"/>
              </w:rPr>
            </w:pPr>
            <w:r>
              <w:rPr>
                <w:b/>
                <w:sz w:val="20"/>
              </w:rPr>
              <w:t>Income from operation</w:t>
            </w:r>
            <w:r>
              <w:rPr>
                <w:b/>
                <w:position w:val="7"/>
                <w:sz w:val="16"/>
                <w:sz w:val="20"/>
              </w:rPr>
              <w:t>4</w:t>
            </w:r>
            <w:r>
              <w:rPr>
                <w:b/>
                <w:sz w:val="20"/>
              </w:rPr>
              <w:t xml:space="preserve"> </w:t>
            </w:r>
            <w:r>
              <w:rPr>
                <w:sz w:val="20"/>
              </w:rPr>
              <w:t>was US$13.0 million, compared to US$17.5 million in the same period of 2024.</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110"/>
        <w:gridCol w:w="738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85" w:type="dxa"/>
            <w:tcBorders/>
            <w:vAlign w:val="center"/>
          </w:tcPr>
          <w:p>
            <w:pPr>
              <w:pStyle w:val="TableContents"/>
              <w:bidi w:val="0"/>
              <w:spacing w:before="0" w:after="283"/>
              <w:jc w:val="left"/>
              <w:rPr>
                <w:sz w:val="20"/>
              </w:rPr>
            </w:pPr>
            <w:r>
              <w:rPr>
                <w:b/>
                <w:sz w:val="20"/>
              </w:rPr>
              <w:t>Income from operation margin</w:t>
            </w:r>
            <w:r>
              <w:rPr>
                <w:b/>
                <w:position w:val="7"/>
                <w:sz w:val="16"/>
                <w:sz w:val="20"/>
              </w:rPr>
              <w:t>5</w:t>
            </w:r>
            <w:r>
              <w:rPr>
                <w:b/>
                <w:sz w:val="20"/>
              </w:rPr>
              <w:t xml:space="preserve"> </w:t>
            </w:r>
            <w:r>
              <w:rPr>
                <w:sz w:val="20"/>
              </w:rPr>
              <w:t>was 5.7%, compared to 8.4% in the same period of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2025 Highlights</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110"/>
        <w:gridCol w:w="918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185" w:type="dxa"/>
            <w:tcBorders/>
            <w:vAlign w:val="center"/>
          </w:tcPr>
          <w:p>
            <w:pPr>
              <w:pStyle w:val="TableContents"/>
              <w:bidi w:val="0"/>
              <w:spacing w:before="0" w:after="283"/>
              <w:jc w:val="both"/>
              <w:rPr>
                <w:sz w:val="20"/>
              </w:rPr>
            </w:pPr>
            <w:r>
              <w:rPr>
                <w:b/>
                <w:sz w:val="20"/>
              </w:rPr>
              <w:t xml:space="preserve">Revenue </w:t>
            </w:r>
            <w:r>
              <w:rPr>
                <w:sz w:val="20"/>
              </w:rPr>
              <w:t>was US$840.8 million, representing an increase of 8.0% from US$778.3 million in the full year of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b/>
                <w:sz w:val="20"/>
              </w:rPr>
              <w:t>Overall average table turnover rate</w:t>
            </w:r>
            <w:r>
              <w:rPr>
                <w:b/>
                <w:position w:val="7"/>
                <w:sz w:val="16"/>
                <w:sz w:val="20"/>
              </w:rPr>
              <w:t>1</w:t>
            </w:r>
            <w:r>
              <w:rPr>
                <w:sz w:val="20"/>
              </w:rPr>
              <w:t xml:space="preserve"> was 3.9 times per day, compared to 3.8 times per day in the full year of 2024. </w:t>
            </w:r>
            <w:r>
              <w:rPr>
                <w:b/>
                <w:sz w:val="20"/>
              </w:rPr>
              <w:t>Overall average same-store table turnover rate</w:t>
            </w:r>
            <w:r>
              <w:rPr>
                <w:b/>
                <w:position w:val="7"/>
                <w:sz w:val="16"/>
                <w:sz w:val="20"/>
              </w:rPr>
              <w:t>2</w:t>
            </w:r>
            <w:r>
              <w:rPr>
                <w:b/>
                <w:sz w:val="20"/>
              </w:rPr>
              <w:t xml:space="preserve"> </w:t>
            </w:r>
            <w:r>
              <w:rPr>
                <w:sz w:val="20"/>
              </w:rPr>
              <w:t>was 4.0 times per day, compared to 3.9 times per day in the full year of 2024.</w:t>
            </w:r>
          </w:p>
        </w:tc>
      </w:tr>
    </w:tbl>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50" w:type="dxa"/>
            <w:tcBorders/>
            <w:vAlign w:val="center"/>
          </w:tcPr>
          <w:p>
            <w:pPr>
              <w:pStyle w:val="TableContents"/>
              <w:bidi w:val="0"/>
              <w:spacing w:before="0" w:after="283"/>
              <w:jc w:val="both"/>
              <w:rPr>
                <w:sz w:val="20"/>
              </w:rPr>
            </w:pPr>
            <w:r>
              <w:rPr>
                <w:sz w:val="20"/>
              </w:rPr>
              <w:t xml:space="preserve">Had over 32.0 million </w:t>
            </w:r>
            <w:r>
              <w:rPr>
                <w:b/>
                <w:sz w:val="20"/>
              </w:rPr>
              <w:t>total guest visits</w:t>
            </w:r>
            <w:r>
              <w:rPr>
                <w:sz w:val="20"/>
              </w:rPr>
              <w:t>, representing an increase of 7.0% from 29.9 million in the full year of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b/>
                <w:sz w:val="20"/>
              </w:rPr>
              <w:t>Same-store sales</w:t>
            </w:r>
            <w:r>
              <w:rPr>
                <w:b/>
                <w:position w:val="7"/>
                <w:sz w:val="16"/>
                <w:sz w:val="20"/>
              </w:rPr>
              <w:t>3</w:t>
            </w:r>
            <w:r>
              <w:rPr>
                <w:b/>
                <w:sz w:val="20"/>
              </w:rPr>
              <w:t xml:space="preserve"> </w:t>
            </w:r>
            <w:r>
              <w:rPr>
                <w:sz w:val="20"/>
              </w:rPr>
              <w:t>were US$675.6 million, compared to US$656.7 million in the full year of 2024, representing a year-over-year increase of 2.9%.</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040" w:type="dxa"/>
            <w:tcBorders/>
            <w:vAlign w:val="center"/>
          </w:tcPr>
          <w:p>
            <w:pPr>
              <w:pStyle w:val="TableContents"/>
              <w:bidi w:val="0"/>
              <w:spacing w:before="0" w:after="283"/>
              <w:jc w:val="left"/>
              <w:rPr>
                <w:sz w:val="20"/>
              </w:rPr>
            </w:pPr>
            <w:r>
              <w:rPr>
                <w:b/>
                <w:sz w:val="20"/>
              </w:rPr>
              <w:t>Income from operation</w:t>
            </w:r>
            <w:r>
              <w:rPr>
                <w:b/>
                <w:position w:val="7"/>
                <w:sz w:val="16"/>
                <w:sz w:val="20"/>
              </w:rPr>
              <w:t>4</w:t>
            </w:r>
            <w:r>
              <w:rPr>
                <w:b/>
                <w:sz w:val="20"/>
              </w:rPr>
              <w:t xml:space="preserve"> </w:t>
            </w:r>
            <w:r>
              <w:rPr>
                <w:sz w:val="20"/>
              </w:rPr>
              <w:t>was US$37.4 million, compared to US$53.3 million in 2024.</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855" w:type="dxa"/>
            <w:tcBorders/>
            <w:vAlign w:val="center"/>
          </w:tcPr>
          <w:p>
            <w:pPr>
              <w:pStyle w:val="TableContents"/>
              <w:bidi w:val="0"/>
              <w:spacing w:before="0" w:after="283"/>
              <w:jc w:val="left"/>
              <w:rPr>
                <w:sz w:val="20"/>
              </w:rPr>
            </w:pPr>
            <w:r>
              <w:rPr>
                <w:b/>
                <w:sz w:val="20"/>
              </w:rPr>
              <w:t>Income from operation margin</w:t>
            </w:r>
            <w:r>
              <w:rPr>
                <w:b/>
                <w:position w:val="7"/>
                <w:sz w:val="16"/>
                <w:sz w:val="20"/>
              </w:rPr>
              <w:t>5</w:t>
            </w:r>
            <w:r>
              <w:rPr>
                <w:b/>
                <w:sz w:val="20"/>
              </w:rPr>
              <w:t xml:space="preserve"> </w:t>
            </w:r>
            <w:r>
              <w:rPr>
                <w:sz w:val="20"/>
              </w:rPr>
              <w:t>was 4.4%, compared to 6.8% in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sz w:val="20"/>
              </w:rPr>
            </w:pPr>
            <w:r>
              <w:rPr>
                <w:position w:val="7"/>
                <w:sz w:val="16"/>
                <w:sz w:val="20"/>
              </w:rPr>
              <w:t>1</w:t>
            </w:r>
            <w:r>
              <w:rPr>
                <w:sz w:val="20"/>
              </w:rPr>
              <w:t> </w:t>
            </w:r>
          </w:p>
        </w:tc>
        <w:tc>
          <w:tcPr>
            <w:tcW w:w="10035" w:type="dxa"/>
            <w:tcBorders/>
            <w:vAlign w:val="center"/>
          </w:tcPr>
          <w:p>
            <w:pPr>
              <w:pStyle w:val="TableContents"/>
              <w:bidi w:val="0"/>
              <w:spacing w:before="0" w:after="283"/>
              <w:jc w:val="both"/>
              <w:rPr>
                <w:sz w:val="20"/>
              </w:rPr>
            </w:pPr>
            <w:r>
              <w:rPr>
                <w:sz w:val="20"/>
              </w:rPr>
              <w:t>Calculated by dividing the total tables served for the year/period by the product of total Haidilao restaurant operations days for the year/period and average table count during the year/period.</w:t>
            </w:r>
          </w:p>
        </w:tc>
      </w:tr>
      <w:tr>
        <w:trPr/>
        <w:tc>
          <w:tcPr>
            <w:tcW w:w="170" w:type="dxa"/>
            <w:tcBorders/>
            <w:vAlign w:val="center"/>
          </w:tcPr>
          <w:p>
            <w:pPr>
              <w:pStyle w:val="TableContents"/>
              <w:bidi w:val="0"/>
              <w:spacing w:before="0" w:after="283"/>
              <w:jc w:val="left"/>
              <w:rPr>
                <w:sz w:val="20"/>
              </w:rPr>
            </w:pPr>
            <w:r>
              <w:rPr>
                <w:position w:val="7"/>
                <w:sz w:val="16"/>
                <w:sz w:val="20"/>
              </w:rPr>
              <w:t>2</w:t>
            </w:r>
            <w:r>
              <w:rPr>
                <w:sz w:val="20"/>
              </w:rPr>
              <w:t> </w:t>
            </w:r>
          </w:p>
        </w:tc>
        <w:tc>
          <w:tcPr>
            <w:tcW w:w="10035" w:type="dxa"/>
            <w:tcBorders/>
            <w:vAlign w:val="center"/>
          </w:tcPr>
          <w:p>
            <w:pPr>
              <w:pStyle w:val="TableContents"/>
              <w:bidi w:val="0"/>
              <w:spacing w:before="0" w:after="283"/>
              <w:jc w:val="both"/>
              <w:rPr>
                <w:sz w:val="20"/>
              </w:rPr>
            </w:pPr>
            <w:r>
              <w:rPr>
                <w:sz w:val="20"/>
              </w:rPr>
              <w:t>Calculated by dividing the total tables served for the year/period by the product of total Haidilao restaurant operations days for the year/period and average table count at the Company’s same-stores during the year/ period.</w:t>
            </w:r>
          </w:p>
        </w:tc>
      </w:tr>
      <w:tr>
        <w:trPr/>
        <w:tc>
          <w:tcPr>
            <w:tcW w:w="170" w:type="dxa"/>
            <w:tcBorders/>
            <w:vAlign w:val="center"/>
          </w:tcPr>
          <w:p>
            <w:pPr>
              <w:pStyle w:val="TableContents"/>
              <w:bidi w:val="0"/>
              <w:spacing w:before="0" w:after="283"/>
              <w:jc w:val="left"/>
              <w:rPr>
                <w:sz w:val="20"/>
              </w:rPr>
            </w:pPr>
            <w:r>
              <w:rPr>
                <w:position w:val="7"/>
                <w:sz w:val="16"/>
                <w:sz w:val="20"/>
              </w:rPr>
              <w:t>3</w:t>
            </w:r>
            <w:r>
              <w:rPr>
                <w:sz w:val="20"/>
              </w:rPr>
              <w:t> </w:t>
            </w:r>
          </w:p>
        </w:tc>
        <w:tc>
          <w:tcPr>
            <w:tcW w:w="10035" w:type="dxa"/>
            <w:tcBorders/>
            <w:vAlign w:val="center"/>
          </w:tcPr>
          <w:p>
            <w:pPr>
              <w:pStyle w:val="TableContents"/>
              <w:bidi w:val="0"/>
              <w:spacing w:before="0" w:after="283"/>
              <w:jc w:val="both"/>
              <w:rPr>
                <w:sz w:val="20"/>
              </w:rPr>
            </w:pPr>
            <w:r>
              <w:rPr>
                <w:sz w:val="20"/>
              </w:rPr>
              <w:t>Refers to the aggregate gross revenue of Haidilao restaurant operations at the same-stores for the year/period indicated.</w:t>
            </w:r>
          </w:p>
        </w:tc>
      </w:tr>
      <w:tr>
        <w:trPr/>
        <w:tc>
          <w:tcPr>
            <w:tcW w:w="170" w:type="dxa"/>
            <w:tcBorders/>
            <w:vAlign w:val="center"/>
          </w:tcPr>
          <w:p>
            <w:pPr>
              <w:pStyle w:val="TableContents"/>
              <w:bidi w:val="0"/>
              <w:spacing w:before="0" w:after="283"/>
              <w:jc w:val="left"/>
              <w:rPr>
                <w:sz w:val="20"/>
              </w:rPr>
            </w:pPr>
            <w:r>
              <w:rPr>
                <w:position w:val="7"/>
                <w:sz w:val="16"/>
                <w:sz w:val="20"/>
              </w:rPr>
              <w:t>4</w:t>
            </w:r>
            <w:r>
              <w:rPr>
                <w:sz w:val="20"/>
              </w:rPr>
              <w:t> </w:t>
            </w:r>
          </w:p>
        </w:tc>
        <w:tc>
          <w:tcPr>
            <w:tcW w:w="10035" w:type="dxa"/>
            <w:tcBorders/>
            <w:vAlign w:val="center"/>
          </w:tcPr>
          <w:p>
            <w:pPr>
              <w:pStyle w:val="TableContents"/>
              <w:bidi w:val="0"/>
              <w:spacing w:before="0" w:after="283"/>
              <w:jc w:val="both"/>
              <w:rPr>
                <w:sz w:val="20"/>
              </w:rPr>
            </w:pPr>
            <w:r>
              <w:rPr>
                <w:sz w:val="20"/>
              </w:rPr>
              <w:t>Calculated by excluding interest income, finance costs, unrealized foreign exchange differences arising from remeasurement of balances which are not denominated in functional currency, net gain arising on financial assets at fair value through profit or loss and income tax expense from profit (loss) for the year/period.</w:t>
            </w:r>
          </w:p>
        </w:tc>
      </w:tr>
      <w:tr>
        <w:trPr/>
        <w:tc>
          <w:tcPr>
            <w:tcW w:w="170" w:type="dxa"/>
            <w:tcBorders/>
            <w:vAlign w:val="center"/>
          </w:tcPr>
          <w:p>
            <w:pPr>
              <w:pStyle w:val="TableContents"/>
              <w:bidi w:val="0"/>
              <w:spacing w:before="0" w:after="283"/>
              <w:jc w:val="left"/>
              <w:rPr>
                <w:sz w:val="20"/>
              </w:rPr>
            </w:pPr>
            <w:r>
              <w:rPr>
                <w:position w:val="7"/>
                <w:sz w:val="16"/>
                <w:sz w:val="20"/>
              </w:rPr>
              <w:t>5</w:t>
            </w:r>
            <w:r>
              <w:rPr>
                <w:sz w:val="20"/>
              </w:rPr>
              <w:t> </w:t>
            </w:r>
          </w:p>
        </w:tc>
        <w:tc>
          <w:tcPr>
            <w:tcW w:w="10035" w:type="dxa"/>
            <w:tcBorders/>
            <w:vAlign w:val="center"/>
          </w:tcPr>
          <w:p>
            <w:pPr>
              <w:pStyle w:val="TableContents"/>
              <w:bidi w:val="0"/>
              <w:spacing w:before="0" w:after="283"/>
              <w:jc w:val="both"/>
              <w:rPr>
                <w:sz w:val="20"/>
              </w:rPr>
            </w:pPr>
            <w:r>
              <w:rPr>
                <w:sz w:val="20"/>
              </w:rPr>
              <w:t>Calculated by dividing income from operation4 by total revenue.</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Yang Lijuan, CEO &amp; Executive Director of Super Hi, commented, “In the fourth quarter of 2025, as we continued to reward employees and customers, Haidilao restaurant achieved a 0.1 times per day improvement for both overall average table turnover rate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and overall average same-store table turnover rate</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compared to the same period last year. Revenue for Haidilao restaurant grew by 6.0% year-over-year, with same-store sales³ rising by 2.3%. Overall company revenue increased by 10.2%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full year 2025, Haidilao restaurant achieved an overall average table turnover rate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of 3.9 times per day and an overall same-store average table turnover rate</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of 4.0 times per day. The restaurant level operating margin was 8.7%, a decrease of 1.4 percentage points from the same period last year. This near-term pressure on restaurant level operating margin primarily reflects our strategic investments in employee incentives, enhanced value propositions, and elevated in-store experiences. In 2025, we also expanded and optimized our restaurant network, diversified revenue streams, and increased investment in the ‘Pomegranate Plan’. These initiatives collectively contributed to Haidilao restaurant revenue growth of 5.7% and other business revenue growth of 61.4%.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remain committed to our vision of becoming a leading global integrated restaurant group. We will strengthen our diverse customer base overseas and deliver richer dining experiences to customers worldwide, driving sustainable growth across global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2025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Revenue </w:t>
      </w:r>
      <w:r>
        <w:rPr>
          <w:rFonts w:ascii="Times New Roman;Times;Serif" w:hAnsi="Times New Roman;Times;Serif"/>
          <w:b w:val="false"/>
          <w:i w:val="false"/>
          <w:caps w:val="false"/>
          <w:smallCaps w:val="false"/>
          <w:sz w:val="20"/>
        </w:rPr>
        <w:t>was US$230.0 million, representing an increase of 10.2% from US$208.8 million in the same period of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Revenue from Haidilao restaurant operations was US$211.9 million, representing an increase of 6.0% from US$199.9 million in the same period of 2024. The increase was mainly driven by (i) ongoing business expansion and increased brand influence; and (ii) continuous efforts to increase guest visits and table turnover rate.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Revenue from delivery business was US$6.8 million, representing an increase of 94.3% from US$3.5 million in the same period of 2024, primarily due to (i) the continuous optimization of delivery products and services based on market demand; and (ii) strategic marketing collaborations with local food delivery platforms.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Revenue from other business was US$11.3 million, representing an increase of 109.3% from US$5.4 million in the same period of 2024. The increase was mainly driven by (i) the increasing popularity of hot pot condiment products, Haidilao-branded and sub-branded food products among local customers and retailers; and (ii) the incubation of secondary branded restaurants under the “Pomegranate Plan” through diversification into multiple business concepts.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Raw materials and consumables used </w:t>
      </w:r>
      <w:r>
        <w:rPr>
          <w:rFonts w:ascii="Times New Roman;Times;Serif" w:hAnsi="Times New Roman;Times;Serif"/>
          <w:b w:val="false"/>
          <w:i w:val="false"/>
          <w:caps w:val="false"/>
          <w:smallCaps w:val="false"/>
          <w:sz w:val="20"/>
        </w:rPr>
        <w:t>were US$76.9 million, representing an increase of 13.6% from US$67.7 million in the same period of 2024. In the fourth quarter of 2025, raw materials and consumables used as a percentage of revenue increased to 33.4% from 32.4% in the same period of 2024. This increase was primarily driven by (i) increased sales of hot pot condiment products, Haidilao-branded and sub-branded food products, and the expansion of the secondary branded restaurants; and (ii) the continued investment in initiatives to enhance the customer experience, such as quality enhancements.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Staff costs </w:t>
      </w:r>
      <w:r>
        <w:rPr>
          <w:rFonts w:ascii="Times New Roman;Times;Serif" w:hAnsi="Times New Roman;Times;Serif"/>
          <w:b w:val="false"/>
          <w:i w:val="false"/>
          <w:caps w:val="false"/>
          <w:smallCaps w:val="false"/>
          <w:sz w:val="20"/>
        </w:rPr>
        <w:t>were US$74.1 million, representing an increase of 10.3% from US$67.2 million in the same period of 2024. The increase was primarily attributable to (i) the increase in the number of employees, reflecting the expansion of the restaurant network compared to the prior year; and (ii) higher piece-rate wages and extended working hours resulting from increased guest visits and improved table turnover rate. As a percentage of revenue, staff costs remained stable at 32.2% in the fourth quarter of 2025, consistent with the same period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from operation</w:t>
      </w:r>
      <w:r>
        <w:rPr>
          <w:rFonts w:ascii="Times New Roman;Times;Serif" w:hAnsi="Times New Roman;Times;Serif"/>
          <w:b/>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was US$13.0 million, compared to US$17.5 million in the same period of 2024. </w:t>
      </w:r>
      <w:r>
        <w:rPr>
          <w:rFonts w:ascii="Times New Roman;Times;Serif" w:hAnsi="Times New Roman;Times;Serif"/>
          <w:b/>
          <w:i w:val="false"/>
          <w:caps w:val="false"/>
          <w:smallCaps w:val="false"/>
          <w:sz w:val="20"/>
        </w:rPr>
        <w:t>Income from operation margin</w:t>
      </w:r>
      <w:r>
        <w:rPr>
          <w:rFonts w:ascii="Times New Roman;Times;Serif" w:hAnsi="Times New Roman;Times;Serif"/>
          <w:b/>
          <w:i w:val="false"/>
          <w:caps w:val="false"/>
          <w:smallCaps w:val="false"/>
          <w:position w:val="7"/>
          <w:sz w:val="16"/>
          <w:sz w:val="20"/>
        </w:rPr>
        <w:t>5</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was 5.7%, compared to 8.4% in the same period of 2024. This change in income from operation margin5 was mainly attributable to (i) the growth in sales of hot pot condiment products, Haidilao-branded and sub-branded food products, and the expansion of the secondary branded restaurants, contributed to an increase in ingredient costs as a percentage of revenue; (ii) the increase in business development expenses and storage expenses in line with the Company’s business expansion; and (iii) the net increase in impairment losses on property, plant and equipment and right-of-use assets, primarily related to business optimization measures implemented at certain restaurant locations following comprehensive performance reviews conducted by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Profit for the period </w:t>
      </w:r>
      <w:r>
        <w:rPr>
          <w:rFonts w:ascii="Times New Roman;Times;Serif" w:hAnsi="Times New Roman;Times;Serif"/>
          <w:b w:val="false"/>
          <w:i w:val="false"/>
          <w:caps w:val="false"/>
          <w:smallCaps w:val="false"/>
          <w:sz w:val="20"/>
        </w:rPr>
        <w:t>was US$4.5 million, compared to a loss of US$11.6 million in the same period of 2024. This change was mainly due to a decrease in net foreign exchange loss of US$22.2 million in the fourth quarter of 2025 as compared with the same period of 2024, primarily attributable to foreign exchange fluctuations, particularly the revaluation of local currencies against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Basic and diluted net profit per share </w:t>
      </w:r>
      <w:r>
        <w:rPr>
          <w:rFonts w:ascii="Times New Roman;Times;Serif" w:hAnsi="Times New Roman;Times;Serif"/>
          <w:b w:val="false"/>
          <w:i w:val="false"/>
          <w:caps w:val="false"/>
          <w:smallCaps w:val="false"/>
          <w:sz w:val="20"/>
        </w:rPr>
        <w:t>were both US$0.01 compared to a basic and diluted net loss per share of US$0.02 in the same period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2025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Revenue </w:t>
      </w:r>
      <w:r>
        <w:rPr>
          <w:rFonts w:ascii="Times New Roman;Times;Serif" w:hAnsi="Times New Roman;Times;Serif"/>
          <w:b w:val="false"/>
          <w:i w:val="false"/>
          <w:caps w:val="false"/>
          <w:smallCaps w:val="false"/>
          <w:sz w:val="20"/>
        </w:rPr>
        <w:t>was US$840.8 million, representing an increase of 8.0% from US$778.3 million in the full year of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Revenue from Haidilao restaurant operations was US$790.0 million, representing an increase of 5.7% from US$747.3 million in the full year of 2024. The increase was mainly driven by (i) improved operational performance at existing Haidilao restaurants, driven by higher table turnover rate and increased customer traffic resulting from our ongoing operational optimization initiative; and (ii) the continued strategic expansion of our business network throughout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Revenue from delivery business was US$19.0 million, representing an increase of 68.1% from US$11.3 million in the full year of 2024, primarily due to (i) the continuous optimization of delivery products and services based on market demand; and (ii) strategic marketing collaborations with local food delivery platforms.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vAlign w:val="center"/>
          </w:tcPr>
          <w:p>
            <w:pPr>
              <w:pStyle w:val="TableContents"/>
              <w:bidi w:val="0"/>
              <w:spacing w:before="0" w:after="283"/>
              <w:jc w:val="both"/>
              <w:rPr>
                <w:sz w:val="20"/>
              </w:rPr>
            </w:pPr>
            <w:r>
              <w:rPr>
                <w:sz w:val="20"/>
              </w:rPr>
              <w:t>Revenue from other business was US$31.8 million, representing an increase of 61.4% from US$19.7 million in the full year of 2024. The increase was mainly driven by (i) the increasing popularity of hot pot condiment products, as well as Haidilao-branded and sub-branded food products, among local customers and retailers; and (ii) the incubation of secondary branded restaurants under the “Pomegranate Plan” through diversification into multiple business concepts.</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Raw materials and consumables used </w:t>
      </w:r>
      <w:r>
        <w:rPr>
          <w:rFonts w:ascii="Times New Roman;Times;Serif" w:hAnsi="Times New Roman;Times;Serif"/>
          <w:b w:val="false"/>
          <w:i w:val="false"/>
          <w:caps w:val="false"/>
          <w:smallCaps w:val="false"/>
          <w:sz w:val="20"/>
        </w:rPr>
        <w:t>were US$282.8 million, representing an increase of 9.7% from US$257.7 million in the full year of 2024. As a percentage of revenue, raw materials and consumables used increased to 33.6% in the full year of 2025 from 33.1% in the full year of 2024. This increase was primarily attributable to (i) the continued investment in customer experience initiatives, such as quality enhancements; and (ii) increased sales of hot pot condiment products, Haidilao-branded and sub-branded food products and the expansion of secondary branded restaurants.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Staff costs </w:t>
      </w:r>
      <w:r>
        <w:rPr>
          <w:rFonts w:ascii="Times New Roman;Times;Serif" w:hAnsi="Times New Roman;Times;Serif"/>
          <w:b w:val="false"/>
          <w:i w:val="false"/>
          <w:caps w:val="false"/>
          <w:smallCaps w:val="false"/>
          <w:sz w:val="20"/>
        </w:rPr>
        <w:t>were US$285.4 million, representing an increase of 10.1% from US$259.3 million in the full year of 2024. The increase was primarily attributable to (i) the increase in the number of employees, which was in line with the expansion of the restaurant network and our operation strategy of ensuring sufficient number of employees to provide superior customer experience across catering services, product quality, restaurant environment, and food safety; (ii) higher piece-rate wages and extended working hours resulting from increased guest visits and improved table turnover rate; and (iii) higher statutory minimum wages in certain countries where we operated. As a percentage of revenue, the Group’s staff costs increased from 33.3% in 2024 to 33.9%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from operation</w:t>
      </w:r>
      <w:r>
        <w:rPr>
          <w:rFonts w:ascii="Times New Roman;Times;Serif" w:hAnsi="Times New Roman;Times;Serif"/>
          <w:b/>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was US$37.4 million, compared to US$53.3 million in the full year of 2024. </w:t>
      </w:r>
      <w:r>
        <w:rPr>
          <w:rFonts w:ascii="Times New Roman;Times;Serif" w:hAnsi="Times New Roman;Times;Serif"/>
          <w:b/>
          <w:i w:val="false"/>
          <w:caps w:val="false"/>
          <w:smallCaps w:val="false"/>
          <w:sz w:val="20"/>
        </w:rPr>
        <w:t>Income from operation margin</w:t>
      </w:r>
      <w:r>
        <w:rPr>
          <w:rFonts w:ascii="Times New Roman;Times;Serif" w:hAnsi="Times New Roman;Times;Serif"/>
          <w:b/>
          <w:i w:val="false"/>
          <w:caps w:val="false"/>
          <w:smallCaps w:val="false"/>
          <w:position w:val="7"/>
          <w:sz w:val="16"/>
          <w:sz w:val="20"/>
        </w:rPr>
        <w:t>5</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was 4.4%, compared to 6.8% in the full year of 2024. This change in income from operation margin5 was mainly attributable to (i) the continued investment in customer experience and employee benefit initiatives, which partially offsets the increase in revenue; (ii) increased outsourcing service fees and consulting service expenses, resulting from the restaurant network expansion and the secondary brand development; and (iii) the net increase in impairment losses on property, plant and equipment and right-of-use assets, primarily related to business optimization measures implemented at certain restaurant locations following comprehensive performance reviews conducted by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Profit for the year </w:t>
      </w:r>
      <w:r>
        <w:rPr>
          <w:rFonts w:ascii="Times New Roman;Times;Serif" w:hAnsi="Times New Roman;Times;Serif"/>
          <w:b w:val="false"/>
          <w:i w:val="false"/>
          <w:caps w:val="false"/>
          <w:smallCaps w:val="false"/>
          <w:sz w:val="20"/>
        </w:rPr>
        <w:t>was US$36.3 million, representing an increase of 69.6% from US$21.4 million in 2024. This change was primarily due to the increase in net foreign exchange gain of US$33.8 million, driven mainly by foreign exchange fluctuations, particularly the appreciation of local currencies against the U.S. dollar, which is partially offset by the decrease in income from operation margin5 mentioned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Basic and diluted net profit per share </w:t>
      </w:r>
      <w:r>
        <w:rPr>
          <w:rFonts w:ascii="Times New Roman;Times;Serif" w:hAnsi="Times New Roman;Times;Serif"/>
          <w:b w:val="false"/>
          <w:i w:val="false"/>
          <w:caps w:val="false"/>
          <w:smallCaps w:val="false"/>
          <w:sz w:val="20"/>
        </w:rPr>
        <w:t>were both US$0.06, compared to US$0.04 in the full year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the Group’s business, the Group considers and uses a non-IFRS measure, Restaurant level operating margin, which is calculated by dividing (i) restaurant level operating profit by (ii) restaurant level revenue, as supplemental measures to review and assess its operating performance. The presentation of these non-IFRS financial measures is not intended to be considered in isolation or as a substitute for the financial information prepared and presented in accordance with IFRS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Restaurant level operating margin is a supplemental measure of operating performance of the Group’s restaurants and its calculations thereof may not be comparable to similar measures reported by other companies. Restaurant level operating margin has limitations as an analytical tool and should not be considered as a substitute for analysis of the Group’s results as reported under IFRS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Restaurant level revenue refers to the total revenue generated from the Group’s two major service lines – Haidilao restaurant operations and delivery business.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Restaurant level operating profit is calculated by deducting from restaurant level revenue certain restaurant level costs and expenses, including (i) restaurant level expenses, including cost of restaurant level raw materials and consumables used, restaurant level staff costs, restaurant level property rentals and related expenses, restaurant level utilities expenses, restaurant level depreciation and amortization, restaurant level traveling and communication expenses and other restaurant level expenses, including preopening expenses in each region; and (ii) management fees incurred in each region. The cost of restaurant level raw materials and consumables used included the cost of food ingredients and consumables associated with central kitchens that are used within the Group’s Haidilao restaurants as well as those procured directly from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believes that Restaurant level operating margin is an important measure to evaluate the performance and profitability of each of the Group’s restaurants, individually and in the aggregate. The Group uses Restaurant level operating margin information to benchmark the Group’s performance versus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set forth below reconciles total revenue to restaurant level revenue:</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3604"/>
        <w:gridCol w:w="63"/>
        <w:gridCol w:w="95"/>
        <w:gridCol w:w="1213"/>
        <w:gridCol w:w="297"/>
        <w:gridCol w:w="95"/>
        <w:gridCol w:w="95"/>
        <w:gridCol w:w="1143"/>
        <w:gridCol w:w="200"/>
      </w:tblGrid>
      <w:tr>
        <w:trPr/>
        <w:tc>
          <w:tcPr>
            <w:tcW w:w="360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29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97"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USD’000</w:t>
            </w:r>
          </w:p>
        </w:tc>
        <w:tc>
          <w:tcPr>
            <w:tcW w:w="297"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USD’000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840,755</w:t>
            </w:r>
          </w:p>
        </w:tc>
        <w:tc>
          <w:tcPr>
            <w:tcW w:w="2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778,308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Revenue (Others)</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(31,769</w:t>
            </w:r>
          </w:p>
        </w:tc>
        <w:tc>
          <w:tcPr>
            <w:tcW w:w="2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(19,719</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Restaurant level revenue</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808,986</w:t>
            </w:r>
          </w:p>
        </w:tc>
        <w:tc>
          <w:tcPr>
            <w:tcW w:w="2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758,589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62" w:type="dxa"/>
            <w:gridSpan w:val="7"/>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restaurant level operating margin is as follows:</w:t>
            </w:r>
          </w:p>
        </w:tc>
        <w:tc>
          <w:tcPr>
            <w:tcW w:w="11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29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97"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USD’000</w:t>
            </w:r>
          </w:p>
        </w:tc>
        <w:tc>
          <w:tcPr>
            <w:tcW w:w="297" w:type="dxa"/>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2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USD’000</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Restaurant level revenue</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808,986</w:t>
            </w:r>
          </w:p>
        </w:tc>
        <w:tc>
          <w:tcPr>
            <w:tcW w:w="2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758,589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Restaurant level costs and expenses</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(738,422</w:t>
            </w:r>
          </w:p>
        </w:tc>
        <w:tc>
          <w:tcPr>
            <w:tcW w:w="2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(682,075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Restaurant level operating profit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70,564</w:t>
            </w:r>
          </w:p>
        </w:tc>
        <w:tc>
          <w:tcPr>
            <w:tcW w:w="2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76,514</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Restaurant level operating margin*</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2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left"/>
              <w:rPr>
                <w:sz w:val="20"/>
              </w:rPr>
            </w:pPr>
            <w:r>
              <w:rPr>
                <w:sz w:val="20"/>
              </w:rPr>
              <w:t>Restaurant level operating margin is calculated by dividing (i) restaurant level operating profit by (ii) restaurant level revenue.</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set forth below reconciles income from operation, the most directly comparable IFRS measure to the restaurant level operating profit.</w:t>
      </w:r>
    </w:p>
    <w:p>
      <w:pPr>
        <w:pStyle w:val="TextBody"/>
        <w:bidi w:val="0"/>
        <w:spacing w:before="0" w:after="0"/>
        <w:ind w:left="0" w:right="0" w:hanging="0"/>
        <w:jc w:val="left"/>
        <w:rPr>
          <w:caps w:val="false"/>
          <w:smallCaps w:val="false"/>
        </w:rPr>
      </w:pPr>
      <w:r>
        <w:rPr>
          <w:caps w:val="false"/>
          <w:smallCaps w:val="false"/>
        </w:rPr>
        <w:t> </w:t>
      </w:r>
    </w:p>
    <w:tbl>
      <w:tblPr>
        <w:tblW w:w="6912" w:type="dxa"/>
        <w:jc w:val="left"/>
        <w:tblInd w:w="0" w:type="dxa"/>
        <w:tblLayout w:type="fixed"/>
        <w:tblCellMar>
          <w:top w:w="0" w:type="dxa"/>
          <w:left w:w="0" w:type="dxa"/>
          <w:bottom w:w="0" w:type="dxa"/>
          <w:right w:w="0" w:type="dxa"/>
        </w:tblCellMar>
      </w:tblPr>
      <w:tblGrid>
        <w:gridCol w:w="3815"/>
        <w:gridCol w:w="60"/>
        <w:gridCol w:w="102"/>
        <w:gridCol w:w="1108"/>
        <w:gridCol w:w="315"/>
        <w:gridCol w:w="102"/>
        <w:gridCol w:w="102"/>
        <w:gridCol w:w="1108"/>
        <w:gridCol w:w="200"/>
      </w:tblGrid>
      <w:tr>
        <w:trPr/>
        <w:tc>
          <w:tcPr>
            <w:tcW w:w="3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3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315"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USD’000</w:t>
            </w:r>
          </w:p>
        </w:tc>
        <w:tc>
          <w:tcPr>
            <w:tcW w:w="315"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center"/>
          </w:tcPr>
          <w:p>
            <w:pPr>
              <w:pStyle w:val="TableContents"/>
              <w:bidi w:val="0"/>
              <w:spacing w:before="0" w:after="283"/>
              <w:jc w:val="center"/>
              <w:rPr>
                <w:i/>
                <w:sz w:val="20"/>
              </w:rPr>
            </w:pPr>
            <w:r>
              <w:rPr>
                <w:i/>
                <w:sz w:val="20"/>
              </w:rPr>
              <w:t>USD’000</w:t>
            </w:r>
          </w:p>
        </w:tc>
        <w:tc>
          <w:tcPr>
            <w:tcW w:w="20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sz w:val="20"/>
              </w:rPr>
            </w:pPr>
            <w:r>
              <w:rPr>
                <w:sz w:val="20"/>
              </w:rPr>
              <w:t>Income from operation</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sz w:val="20"/>
              </w:rPr>
            </w:pPr>
            <w:r>
              <w:rPr>
                <w:sz w:val="20"/>
              </w:rPr>
              <w:t>37,434</w:t>
            </w:r>
          </w:p>
        </w:tc>
        <w:tc>
          <w:tcPr>
            <w:tcW w:w="31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sz w:val="20"/>
              </w:rPr>
            </w:pPr>
            <w:r>
              <w:rPr>
                <w:sz w:val="20"/>
              </w:rPr>
              <w:t>53,311</w:t>
            </w:r>
          </w:p>
        </w:tc>
        <w:tc>
          <w:tcPr>
            <w:tcW w:w="20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sz w:val="20"/>
              </w:rPr>
            </w:pPr>
            <w:r>
              <w:rPr>
                <w:sz w:val="20"/>
              </w:rPr>
              <w:t>Less: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31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Revenue (Others)</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sz w:val="20"/>
              </w:rPr>
            </w:pPr>
            <w:r>
              <w:rPr>
                <w:sz w:val="20"/>
              </w:rPr>
              <w:t>(31,769</w:t>
            </w:r>
          </w:p>
        </w:tc>
        <w:tc>
          <w:tcPr>
            <w:tcW w:w="315" w:type="dxa"/>
            <w:tcBorders/>
            <w:shd w:fill="FFFFFF" w:val="clear"/>
            <w:vAlign w:val="center"/>
          </w:tcPr>
          <w:p>
            <w:pPr>
              <w:pStyle w:val="TableContents"/>
              <w:bidi w:val="0"/>
              <w:spacing w:before="0" w:after="283"/>
              <w:jc w:val="left"/>
              <w:rPr>
                <w:sz w:val="20"/>
              </w:rPr>
            </w:pPr>
            <w:r>
              <w:rPr>
                <w:sz w:val="20"/>
              </w:rPr>
              <w:t>)</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sz w:val="20"/>
              </w:rPr>
            </w:pPr>
            <w:r>
              <w:rPr>
                <w:sz w:val="20"/>
              </w:rPr>
              <w:t>(19,719</w:t>
            </w:r>
          </w:p>
        </w:tc>
        <w:tc>
          <w:tcPr>
            <w:tcW w:w="200" w:type="dxa"/>
            <w:tcBorders/>
            <w:shd w:fill="FFFFFF" w:val="clear"/>
            <w:vAlign w:val="center"/>
          </w:tcPr>
          <w:p>
            <w:pPr>
              <w:pStyle w:val="TableContents"/>
              <w:bidi w:val="0"/>
              <w:spacing w:before="0" w:after="283"/>
              <w:jc w:val="left"/>
              <w:rPr>
                <w:sz w:val="20"/>
              </w:rPr>
            </w:pPr>
            <w:r>
              <w:rPr>
                <w:sz w:val="20"/>
              </w:rPr>
              <w:t>)</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(1,830</w:t>
            </w:r>
          </w:p>
        </w:tc>
        <w:tc>
          <w:tcPr>
            <w:tcW w:w="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non-restaurant level cost and expenses</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ind w:left="0" w:right="0" w:hanging="1"/>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Raw materials and consumables used</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sz w:val="20"/>
              </w:rPr>
            </w:pPr>
            <w:r>
              <w:rPr>
                <w:sz w:val="20"/>
              </w:rPr>
              <w:t>18,472</w:t>
            </w:r>
          </w:p>
        </w:tc>
        <w:tc>
          <w:tcPr>
            <w:tcW w:w="315"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sz w:val="20"/>
              </w:rPr>
            </w:pPr>
            <w:r>
              <w:rPr>
                <w:sz w:val="20"/>
              </w:rPr>
              <w:t>10,343</w:t>
            </w:r>
          </w:p>
        </w:tc>
        <w:tc>
          <w:tcPr>
            <w:tcW w:w="20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16,333</w:t>
            </w:r>
          </w:p>
        </w:tc>
        <w:tc>
          <w:tcPr>
            <w:tcW w:w="3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10,992</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Rentals and related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w:t>
            </w:r>
          </w:p>
        </w:tc>
        <w:tc>
          <w:tcPr>
            <w:tcW w:w="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Utilities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1,893</w:t>
            </w:r>
          </w:p>
        </w:tc>
        <w:tc>
          <w:tcPr>
            <w:tcW w:w="3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1,783</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7,260</w:t>
            </w:r>
          </w:p>
        </w:tc>
        <w:tc>
          <w:tcPr>
            <w:tcW w:w="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Traveling and communication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1,399</w:t>
            </w:r>
          </w:p>
        </w:tc>
        <w:tc>
          <w:tcPr>
            <w:tcW w:w="3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13,650</w:t>
            </w:r>
          </w:p>
        </w:tc>
        <w:tc>
          <w:tcPr>
            <w:tcW w:w="3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10,136</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losses – net</w:t>
            </w:r>
            <w:r>
              <w:rPr>
                <w:rFonts w:ascii="Times New Roman;Times;Serif" w:hAnsi="Times New Roman;Times;Serif"/>
                <w:b w:val="false"/>
                <w:i w:val="false"/>
                <w:caps w:val="false"/>
                <w:smallCaps w:val="false"/>
                <w:position w:val="7"/>
                <w:sz w:val="16"/>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6,015</w:t>
            </w:r>
          </w:p>
        </w:tc>
        <w:tc>
          <w:tcPr>
            <w:tcW w:w="3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15" w:type="dxa"/>
            <w:tcBorders/>
            <w:shd w:fill="FFFFFF" w:val="clear"/>
            <w:vAlign w:val="center"/>
          </w:tcPr>
          <w:p>
            <w:pPr>
              <w:pStyle w:val="TableContents"/>
              <w:bidi w:val="0"/>
              <w:spacing w:before="0" w:after="283"/>
              <w:jc w:val="left"/>
              <w:rPr>
                <w:sz w:val="20"/>
              </w:rPr>
            </w:pPr>
            <w:r>
              <w:rPr>
                <w:sz w:val="20"/>
              </w:rPr>
              <w:t>Restaurant level operating profit</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70,564</w:t>
            </w:r>
          </w:p>
        </w:tc>
        <w:tc>
          <w:tcPr>
            <w:tcW w:w="315"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76,514</w:t>
            </w:r>
          </w:p>
        </w:tc>
        <w:tc>
          <w:tcPr>
            <w:tcW w:w="20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315"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sz w:val="20"/>
              </w:rPr>
            </w:pPr>
            <w:r>
              <w:rPr>
                <w:sz w:val="20"/>
              </w:rPr>
              <w:t>Restaurant level operating margin</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8.7</w:t>
            </w:r>
          </w:p>
        </w:tc>
        <w:tc>
          <w:tcPr>
            <w:tcW w:w="315" w:type="dxa"/>
            <w:tcBorders/>
            <w:shd w:fill="FFFFFF" w:val="clear"/>
            <w:vAlign w:val="center"/>
          </w:tcPr>
          <w:p>
            <w:pPr>
              <w:pStyle w:val="TableContents"/>
              <w:bidi w:val="0"/>
              <w:spacing w:before="0" w:after="283"/>
              <w:jc w:val="left"/>
              <w:rPr>
                <w:sz w:val="20"/>
              </w:rPr>
            </w:pPr>
            <w:r>
              <w:rPr>
                <w:sz w:val="20"/>
              </w:rPr>
              <w:t>%</w:t>
            </w:r>
          </w:p>
        </w:tc>
        <w:tc>
          <w:tcPr>
            <w:tcW w:w="102"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10.1</w:t>
            </w:r>
          </w:p>
        </w:tc>
        <w:tc>
          <w:tcPr>
            <w:tcW w:w="200"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Notes:</w:t>
            </w:r>
          </w:p>
        </w:tc>
        <w:tc>
          <w:tcPr>
            <w:tcW w:w="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sz w:val="20"/>
              </w:rPr>
            </w:pPr>
            <w:r>
              <w:rPr>
                <w:sz w:val="20"/>
              </w:rPr>
              <w:t>(1)</w:t>
            </w:r>
          </w:p>
        </w:tc>
        <w:tc>
          <w:tcPr>
            <w:tcW w:w="9985" w:type="dxa"/>
            <w:tcBorders/>
            <w:vAlign w:val="center"/>
          </w:tcPr>
          <w:p>
            <w:pPr>
              <w:pStyle w:val="TableContents"/>
              <w:bidi w:val="0"/>
              <w:spacing w:before="0" w:after="283"/>
              <w:jc w:val="both"/>
              <w:rPr>
                <w:sz w:val="20"/>
              </w:rPr>
            </w:pPr>
            <w:r>
              <w:rPr>
                <w:sz w:val="20"/>
              </w:rPr>
              <w:t>Income from operation is calculated by profit for the year excluding interest income (included within other income), finance costs, unrealized foreign exchange differences arising from remeasurement of balances which are not denominated in functional currency, net gain arising on financial assets at FVTPL and income tax expense.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sz w:val="20"/>
              </w:rPr>
            </w:pPr>
            <w:r>
              <w:rPr>
                <w:sz w:val="20"/>
              </w:rPr>
              <w:t>(2)</w:t>
            </w:r>
          </w:p>
        </w:tc>
        <w:tc>
          <w:tcPr>
            <w:tcW w:w="9965" w:type="dxa"/>
            <w:tcBorders/>
            <w:vAlign w:val="center"/>
          </w:tcPr>
          <w:p>
            <w:pPr>
              <w:pStyle w:val="TableContents"/>
              <w:bidi w:val="0"/>
              <w:spacing w:before="0" w:after="283"/>
              <w:jc w:val="both"/>
              <w:rPr>
                <w:sz w:val="20"/>
              </w:rPr>
            </w:pPr>
            <w:r>
              <w:rPr>
                <w:sz w:val="20"/>
              </w:rPr>
              <w:t>Other income primarily consists of the subsidies received from the local governments for the Group’s business development but does not include non-operating interest income.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sz w:val="20"/>
              </w:rPr>
            </w:pPr>
            <w:r>
              <w:rPr>
                <w:sz w:val="20"/>
              </w:rPr>
              <w:t>(3)</w:t>
            </w:r>
          </w:p>
        </w:tc>
        <w:tc>
          <w:tcPr>
            <w:tcW w:w="9970" w:type="dxa"/>
            <w:tcBorders/>
            <w:vAlign w:val="center"/>
          </w:tcPr>
          <w:p>
            <w:pPr>
              <w:pStyle w:val="TableContents"/>
              <w:bidi w:val="0"/>
              <w:spacing w:before="0" w:after="283"/>
              <w:jc w:val="both"/>
              <w:rPr>
                <w:sz w:val="20"/>
              </w:rPr>
            </w:pPr>
            <w:r>
              <w:rPr>
                <w:sz w:val="20"/>
              </w:rPr>
              <w:t>Non-restaurant level costs and expenses mainly relate to costs associated with Revenue (Others), operational costs and expenses associated with central kitchens, and corporate and unallocated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sz w:val="20"/>
              </w:rPr>
            </w:pPr>
            <w:r>
              <w:rPr>
                <w:sz w:val="20"/>
              </w:rPr>
              <w:t>(4)</w:t>
            </w:r>
          </w:p>
        </w:tc>
        <w:tc>
          <w:tcPr>
            <w:tcW w:w="9985" w:type="dxa"/>
            <w:tcBorders/>
            <w:vAlign w:val="center"/>
          </w:tcPr>
          <w:p>
            <w:pPr>
              <w:pStyle w:val="TableContents"/>
              <w:bidi w:val="0"/>
              <w:spacing w:before="0" w:after="283"/>
              <w:jc w:val="both"/>
              <w:rPr>
                <w:sz w:val="20"/>
              </w:rPr>
            </w:pPr>
            <w:r>
              <w:rPr>
                <w:sz w:val="20"/>
              </w:rPr>
              <w:t>Raw materials and consumables used in non-restaurant level operations mainly relate to cost of food ingredients purchased by central kitchens that are not used for Haidilao restaurants, but which are used for sales of hot pot condiment products and food under Haidilao brand and secondary brands to local guests and retailers.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sz w:val="20"/>
              </w:rPr>
            </w:pPr>
            <w:r>
              <w:rPr>
                <w:sz w:val="20"/>
              </w:rPr>
              <w:t>(5)</w:t>
            </w:r>
          </w:p>
        </w:tc>
        <w:tc>
          <w:tcPr>
            <w:tcW w:w="9986" w:type="dxa"/>
            <w:tcBorders/>
            <w:vAlign w:val="center"/>
          </w:tcPr>
          <w:p>
            <w:pPr>
              <w:pStyle w:val="TableContents"/>
              <w:bidi w:val="0"/>
              <w:spacing w:before="0" w:after="283"/>
              <w:jc w:val="both"/>
              <w:rPr>
                <w:sz w:val="20"/>
              </w:rPr>
            </w:pPr>
            <w:r>
              <w:rPr>
                <w:sz w:val="20"/>
              </w:rPr>
              <w:t>Other losses – net primarily consist of net impairment loss (reversal) recognized in respect of property, plant and equipment and right-of-use assets, but do not include unrealized foreign exchange differences arising from remeasurement of balances which are not denominated in functional currency and net gain arising on financial assets at FVTPL.</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Haidilao Restaurant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key performance indicators of Haidilao’s restaurants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3713" w:type="dxa"/>
        <w:jc w:val="left"/>
        <w:tblInd w:w="0" w:type="dxa"/>
        <w:tblLayout w:type="fixed"/>
        <w:tblCellMar>
          <w:top w:w="0" w:type="dxa"/>
          <w:left w:w="0" w:type="dxa"/>
          <w:bottom w:w="0" w:type="dxa"/>
          <w:right w:w="0" w:type="dxa"/>
        </w:tblCellMar>
      </w:tblPr>
      <w:tblGrid>
        <w:gridCol w:w="1940"/>
        <w:gridCol w:w="60"/>
        <w:gridCol w:w="107"/>
        <w:gridCol w:w="602"/>
        <w:gridCol w:w="107"/>
        <w:gridCol w:w="107"/>
        <w:gridCol w:w="107"/>
        <w:gridCol w:w="608"/>
        <w:gridCol w:w="75"/>
      </w:tblGrid>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7" w:type="dxa"/>
            <w:tcBorders/>
            <w:vAlign w:val="center"/>
          </w:tcPr>
          <w:p>
            <w:pPr>
              <w:pStyle w:val="TableContents"/>
              <w:bidi w:val="0"/>
              <w:spacing w:before="0" w:after="283"/>
              <w:jc w:val="center"/>
              <w:rPr>
                <w:caps w:val="false"/>
                <w:smallCaps w:val="false"/>
              </w:rPr>
            </w:pPr>
            <w:r>
              <w:rPr>
                <w:caps w:val="false"/>
                <w:smallCaps w:val="false"/>
              </w:rPr>
              <w:t> </w:t>
            </w:r>
          </w:p>
        </w:tc>
        <w:tc>
          <w:tcPr>
            <w:tcW w:w="107"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restaurants</w:t>
            </w:r>
          </w:p>
        </w:tc>
        <w:tc>
          <w:tcPr>
            <w:tcW w:w="60" w:type="dxa"/>
            <w:tcBorders/>
            <w:shd w:fill="CCEEFF" w:val="clear"/>
            <w:vAlign w:val="center"/>
          </w:tcPr>
          <w:p>
            <w:pPr>
              <w:pStyle w:val="TableContents"/>
              <w:bidi w:val="0"/>
              <w:spacing w:before="0" w:after="283"/>
              <w:jc w:val="left"/>
              <w:rPr/>
            </w:pPr>
            <w:r>
              <w:rPr/>
              <w:t> </w:t>
            </w:r>
          </w:p>
        </w:tc>
        <w:tc>
          <w:tcPr>
            <w:tcW w:w="709" w:type="dxa"/>
            <w:gridSpan w:val="2"/>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715"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tbl>
      <w:tblPr>
        <w:tblW w:w="8303" w:type="dxa"/>
        <w:jc w:val="left"/>
        <w:tblInd w:w="0" w:type="dxa"/>
        <w:tblLayout w:type="fixed"/>
        <w:tblCellMar>
          <w:top w:w="0" w:type="dxa"/>
          <w:left w:w="0" w:type="dxa"/>
          <w:bottom w:w="0" w:type="dxa"/>
          <w:right w:w="0" w:type="dxa"/>
        </w:tblCellMar>
      </w:tblPr>
      <w:tblGrid>
        <w:gridCol w:w="3920"/>
        <w:gridCol w:w="60"/>
        <w:gridCol w:w="145"/>
        <w:gridCol w:w="930"/>
        <w:gridCol w:w="145"/>
        <w:gridCol w:w="145"/>
        <w:gridCol w:w="145"/>
        <w:gridCol w:w="938"/>
        <w:gridCol w:w="60"/>
        <w:gridCol w:w="60"/>
        <w:gridCol w:w="99"/>
        <w:gridCol w:w="639"/>
        <w:gridCol w:w="99"/>
        <w:gridCol w:w="99"/>
        <w:gridCol w:w="99"/>
        <w:gridCol w:w="645"/>
        <w:gridCol w:w="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br/>
              <w:t>December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Year Ended</w:t>
              <w:br/>
              <w:t>December 31,</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45" w:type="dxa"/>
            <w:tcBorders/>
            <w:vAlign w:val="center"/>
          </w:tcPr>
          <w:p>
            <w:pPr>
              <w:pStyle w:val="TableContents"/>
              <w:bidi w:val="0"/>
              <w:spacing w:before="0" w:after="283"/>
              <w:jc w:val="center"/>
              <w:rPr>
                <w:caps w:val="false"/>
                <w:smallCaps w:val="false"/>
              </w:rPr>
            </w:pPr>
            <w:r>
              <w:rPr>
                <w:caps w:val="false"/>
                <w:smallCaps w:val="false"/>
              </w:rPr>
              <w:t> </w:t>
            </w:r>
          </w:p>
        </w:tc>
        <w:tc>
          <w:tcPr>
            <w:tcW w:w="145" w:type="dxa"/>
            <w:tcBorders/>
            <w:vAlign w:val="center"/>
          </w:tcPr>
          <w:p>
            <w:pPr>
              <w:pStyle w:val="TableContents"/>
              <w:bidi w:val="0"/>
              <w:spacing w:before="0" w:after="283"/>
              <w:jc w:val="center"/>
              <w:rPr>
                <w:caps w:val="false"/>
                <w:smallCaps w:val="false"/>
              </w:rPr>
            </w:pPr>
            <w:r>
              <w:rPr>
                <w:caps w:val="false"/>
                <w:smallCaps w:val="false"/>
              </w:rPr>
              <w:t> </w:t>
            </w:r>
          </w:p>
        </w:tc>
        <w:tc>
          <w:tcPr>
            <w:tcW w:w="10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c>
          <w:tcPr>
            <w:tcW w:w="7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b/>
                <w:sz w:val="20"/>
              </w:rPr>
            </w:pPr>
            <w:r>
              <w:rPr>
                <w:b/>
                <w:sz w:val="20"/>
              </w:rPr>
              <w:t>Total guest visits (million)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table turnover rate</w:t>
            </w:r>
            <w:r>
              <w:rPr>
                <w:rFonts w:ascii="Times New Roman;Times;Serif" w:hAnsi="Times New Roman;Times;Serif"/>
                <w:b/>
                <w:i w:val="false"/>
                <w:caps w:val="false"/>
                <w:smallCaps w:val="false"/>
                <w:position w:val="7"/>
                <w:sz w:val="16"/>
                <w:sz w:val="20"/>
              </w:rPr>
              <w:t>(2)</w:t>
            </w:r>
            <w:r>
              <w:rPr>
                <w:rFonts w:ascii="Times New Roman;Times;Serif" w:hAnsi="Times New Roman;Times;Serif"/>
                <w:b/>
                <w:i w:val="false"/>
                <w:caps w:val="false"/>
                <w:smallCaps w:val="false"/>
                <w:sz w:val="20"/>
              </w:rPr>
              <w:t xml:space="preserve"> (times per day)</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spending per guest</w:t>
            </w:r>
            <w:r>
              <w:rPr>
                <w:rFonts w:ascii="Times New Roman;Times;Serif" w:hAnsi="Times New Roman;Times;Serif"/>
                <w:b/>
                <w:i w:val="false"/>
                <w:caps w:val="false"/>
                <w:smallCaps w:val="false"/>
                <w:position w:val="7"/>
                <w:sz w:val="16"/>
                <w:sz w:val="20"/>
              </w:rPr>
              <w:t>(3)</w:t>
            </w:r>
            <w:r>
              <w:rPr>
                <w:rFonts w:ascii="Times New Roman;Times;Serif" w:hAnsi="Times New Roman;Times;Serif"/>
                <w:b/>
                <w:i w:val="false"/>
                <w:caps w:val="false"/>
                <w:smallCaps w:val="false"/>
                <w:sz w:val="20"/>
              </w:rPr>
              <w:t xml:space="preserve"> (US$)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25.4</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413" w:type="dxa"/>
        <w:jc w:val="left"/>
        <w:tblInd w:w="0" w:type="dxa"/>
        <w:tblLayout w:type="fixed"/>
        <w:tblCellMar>
          <w:top w:w="0" w:type="dxa"/>
          <w:left w:w="0" w:type="dxa"/>
          <w:bottom w:w="0" w:type="dxa"/>
          <w:right w:w="0" w:type="dxa"/>
        </w:tblCellMar>
      </w:tblPr>
      <w:tblGrid>
        <w:gridCol w:w="5030"/>
        <w:gridCol w:w="60"/>
        <w:gridCol w:w="145"/>
        <w:gridCol w:w="930"/>
        <w:gridCol w:w="145"/>
        <w:gridCol w:w="145"/>
        <w:gridCol w:w="145"/>
        <w:gridCol w:w="938"/>
        <w:gridCol w:w="60"/>
        <w:gridCol w:w="60"/>
        <w:gridCol w:w="99"/>
        <w:gridCol w:w="639"/>
        <w:gridCol w:w="99"/>
        <w:gridCol w:w="99"/>
        <w:gridCol w:w="99"/>
        <w:gridCol w:w="645"/>
        <w:gridCol w:w="75"/>
      </w:tblGrid>
      <w:tr>
        <w:trPr/>
        <w:tc>
          <w:tcPr>
            <w:tcW w:w="5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 Ended</w:t>
              <w:br/>
              <w:t>December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Year Ended</w:t>
              <w:br/>
              <w:t>December 31,</w:t>
            </w:r>
          </w:p>
        </w:tc>
        <w:tc>
          <w:tcPr>
            <w:tcW w:w="7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45" w:type="dxa"/>
            <w:tcBorders/>
            <w:vAlign w:val="center"/>
          </w:tcPr>
          <w:p>
            <w:pPr>
              <w:pStyle w:val="TableContents"/>
              <w:bidi w:val="0"/>
              <w:spacing w:before="0" w:after="283"/>
              <w:jc w:val="center"/>
              <w:rPr>
                <w:caps w:val="false"/>
                <w:smallCaps w:val="false"/>
              </w:rPr>
            </w:pPr>
            <w:r>
              <w:rPr>
                <w:caps w:val="false"/>
                <w:smallCaps w:val="false"/>
              </w:rPr>
              <w:t> </w:t>
            </w:r>
          </w:p>
        </w:tc>
        <w:tc>
          <w:tcPr>
            <w:tcW w:w="145" w:type="dxa"/>
            <w:tcBorders/>
            <w:vAlign w:val="center"/>
          </w:tcPr>
          <w:p>
            <w:pPr>
              <w:pStyle w:val="TableContents"/>
              <w:bidi w:val="0"/>
              <w:spacing w:before="0" w:after="283"/>
              <w:jc w:val="center"/>
              <w:rPr>
                <w:caps w:val="false"/>
                <w:smallCaps w:val="false"/>
              </w:rPr>
            </w:pPr>
            <w:r>
              <w:rPr>
                <w:caps w:val="false"/>
                <w:smallCaps w:val="false"/>
              </w:rPr>
              <w:t> </w:t>
            </w:r>
          </w:p>
        </w:tc>
        <w:tc>
          <w:tcPr>
            <w:tcW w:w="10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c>
          <w:tcPr>
            <w:tcW w:w="7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b/>
                <w:sz w:val="20"/>
              </w:rPr>
            </w:pPr>
            <w:r>
              <w:rPr>
                <w:b/>
                <w:sz w:val="20"/>
              </w:rPr>
              <w:t>Average daily revenue per restaurant</w:t>
            </w:r>
            <w:r>
              <w:rPr>
                <w:b/>
                <w:position w:val="7"/>
                <w:sz w:val="16"/>
                <w:sz w:val="20"/>
              </w:rPr>
              <w:t>(4)</w:t>
            </w:r>
            <w:r>
              <w:rPr>
                <w:b/>
                <w:sz w:val="20"/>
              </w:rPr>
              <w:t xml:space="preserve"> (US$ in thousands)</w:t>
            </w:r>
          </w:p>
        </w:tc>
        <w:tc>
          <w:tcPr>
            <w:tcW w:w="60" w:type="dxa"/>
            <w:tcBorders/>
            <w:shd w:fill="CCEEFF" w:val="clear"/>
            <w:vAlign w:val="center"/>
          </w:tcPr>
          <w:p>
            <w:pPr>
              <w:pStyle w:val="TableContents"/>
              <w:bidi w:val="0"/>
              <w:spacing w:before="0" w:after="283"/>
              <w:jc w:val="left"/>
              <w:rPr/>
            </w:pPr>
            <w:r>
              <w:rPr/>
              <w:t> </w:t>
            </w:r>
          </w:p>
        </w:tc>
        <w:tc>
          <w:tcPr>
            <w:tcW w:w="1075" w:type="dxa"/>
            <w:gridSpan w:val="2"/>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83"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8" w:type="dxa"/>
            <w:gridSpan w:val="2"/>
            <w:tcBorders/>
            <w:shd w:fill="CCEEFF" w:val="clear"/>
            <w:vAlign w:val="center"/>
          </w:tcPr>
          <w:p>
            <w:pPr>
              <w:pStyle w:val="TableContents"/>
              <w:bidi w:val="0"/>
              <w:spacing w:before="0" w:after="283"/>
              <w:jc w:val="center"/>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4"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jc w:val="left"/>
        <w:rPr>
          <w:i/>
          <w:sz w:val="20"/>
        </w:rPr>
      </w:pPr>
      <w:r>
        <w:rPr>
          <w:i/>
          <w:sz w:val="20"/>
        </w:rPr>
        <w:t>Notes:</w:t>
      </w:r>
    </w:p>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260"/>
        <w:gridCol w:w="6275"/>
      </w:tblGrid>
      <w:tr>
        <w:trPr/>
        <w:tc>
          <w:tcPr>
            <w:tcW w:w="260" w:type="dxa"/>
            <w:tcBorders/>
            <w:vAlign w:val="center"/>
          </w:tcPr>
          <w:p>
            <w:pPr>
              <w:pStyle w:val="TableContents"/>
              <w:bidi w:val="0"/>
              <w:spacing w:before="0" w:after="283"/>
              <w:jc w:val="left"/>
              <w:rPr>
                <w:sz w:val="20"/>
              </w:rPr>
            </w:pPr>
            <w:r>
              <w:rPr>
                <w:sz w:val="20"/>
              </w:rPr>
              <w:t>(1)</w:t>
            </w:r>
          </w:p>
        </w:tc>
        <w:tc>
          <w:tcPr>
            <w:tcW w:w="6275" w:type="dxa"/>
            <w:tcBorders/>
            <w:vAlign w:val="center"/>
          </w:tcPr>
          <w:p>
            <w:pPr>
              <w:pStyle w:val="TableContents"/>
              <w:bidi w:val="0"/>
              <w:spacing w:before="0" w:after="283"/>
              <w:jc w:val="left"/>
              <w:rPr>
                <w:sz w:val="20"/>
              </w:rPr>
            </w:pPr>
            <w:r>
              <w:rPr>
                <w:sz w:val="20"/>
              </w:rPr>
              <w:t>Others include Australia, the United Kingdom, and the United Arab Emirates.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sz w:val="20"/>
              </w:rPr>
            </w:pPr>
            <w:r>
              <w:rPr>
                <w:sz w:val="20"/>
              </w:rPr>
              <w:t>(2)</w:t>
            </w:r>
          </w:p>
        </w:tc>
        <w:tc>
          <w:tcPr>
            <w:tcW w:w="9975" w:type="dxa"/>
            <w:tcBorders/>
            <w:vAlign w:val="center"/>
          </w:tcPr>
          <w:p>
            <w:pPr>
              <w:pStyle w:val="TableContents"/>
              <w:bidi w:val="0"/>
              <w:spacing w:before="0" w:after="283"/>
              <w:jc w:val="both"/>
              <w:rPr>
                <w:sz w:val="20"/>
              </w:rPr>
            </w:pPr>
            <w:r>
              <w:rPr>
                <w:sz w:val="20"/>
              </w:rPr>
              <w:t>Calculated by dividing total number of tables served for the years/periods by the product of total Haidilao restaurant operations days for the years/periods and average table count during the years/periods in the same geographic region.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sz w:val="20"/>
              </w:rPr>
            </w:pPr>
            <w:r>
              <w:rPr>
                <w:sz w:val="20"/>
              </w:rPr>
              <w:t>(3)</w:t>
            </w:r>
          </w:p>
        </w:tc>
        <w:tc>
          <w:tcPr>
            <w:tcW w:w="9962" w:type="dxa"/>
            <w:tcBorders/>
            <w:vAlign w:val="center"/>
          </w:tcPr>
          <w:p>
            <w:pPr>
              <w:pStyle w:val="TableContents"/>
              <w:bidi w:val="0"/>
              <w:spacing w:before="0" w:after="283"/>
              <w:jc w:val="both"/>
              <w:rPr>
                <w:sz w:val="20"/>
              </w:rPr>
            </w:pPr>
            <w:r>
              <w:rPr>
                <w:sz w:val="20"/>
              </w:rPr>
              <w:t>Calculated by dividing gross revenue of Haidilao restaurant operations for the years/periods by total guests served for the years/periods in the same geographic region.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sz w:val="20"/>
              </w:rPr>
            </w:pPr>
            <w:r>
              <w:rPr>
                <w:sz w:val="20"/>
              </w:rPr>
              <w:t>(4)</w:t>
            </w:r>
          </w:p>
        </w:tc>
        <w:tc>
          <w:tcPr>
            <w:tcW w:w="9968" w:type="dxa"/>
            <w:tcBorders/>
            <w:vAlign w:val="center"/>
          </w:tcPr>
          <w:p>
            <w:pPr>
              <w:pStyle w:val="TableContents"/>
              <w:bidi w:val="0"/>
              <w:spacing w:before="0" w:after="283"/>
              <w:jc w:val="both"/>
              <w:rPr>
                <w:sz w:val="20"/>
              </w:rPr>
            </w:pPr>
            <w:r>
              <w:rPr>
                <w:sz w:val="20"/>
              </w:rPr>
              <w:t>Calculated by dividing the revenue of Haidilao restaurant operations for the years/periods by the total Haidilao restaurant operations days of the years/periods in the same geographic region.</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Same-Store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details of the Company’s same-store sales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9429" w:type="dxa"/>
        <w:jc w:val="left"/>
        <w:tblInd w:w="0" w:type="dxa"/>
        <w:tblLayout w:type="fixed"/>
        <w:tblCellMar>
          <w:top w:w="0" w:type="dxa"/>
          <w:left w:w="0" w:type="dxa"/>
          <w:bottom w:w="0" w:type="dxa"/>
          <w:right w:w="0" w:type="dxa"/>
        </w:tblCellMar>
      </w:tblPr>
      <w:tblGrid>
        <w:gridCol w:w="4670"/>
        <w:gridCol w:w="60"/>
        <w:gridCol w:w="86"/>
        <w:gridCol w:w="999"/>
        <w:gridCol w:w="86"/>
        <w:gridCol w:w="86"/>
        <w:gridCol w:w="86"/>
        <w:gridCol w:w="999"/>
        <w:gridCol w:w="60"/>
        <w:gridCol w:w="60"/>
        <w:gridCol w:w="79"/>
        <w:gridCol w:w="923"/>
        <w:gridCol w:w="79"/>
        <w:gridCol w:w="79"/>
        <w:gridCol w:w="79"/>
        <w:gridCol w:w="923"/>
        <w:gridCol w:w="75"/>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of/For the Three Months</w:t>
              <w:br/>
              <w:t>Ended December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of/For the Year Ended</w:t>
              <w:br/>
              <w:t>December 31,</w:t>
            </w:r>
          </w:p>
        </w:tc>
        <w:tc>
          <w:tcPr>
            <w:tcW w:w="75"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9" w:type="dxa"/>
            <w:tcBorders/>
            <w:vAlign w:val="center"/>
          </w:tcPr>
          <w:p>
            <w:pPr>
              <w:pStyle w:val="TableContents"/>
              <w:bidi w:val="0"/>
              <w:spacing w:before="0" w:after="283"/>
              <w:jc w:val="center"/>
              <w:rPr>
                <w:caps w:val="false"/>
                <w:smallCaps w:val="false"/>
              </w:rPr>
            </w:pPr>
            <w:r>
              <w:rPr>
                <w:caps w:val="false"/>
                <w:smallCaps w:val="false"/>
              </w:rPr>
              <w:t> </w:t>
            </w:r>
          </w:p>
        </w:tc>
        <w:tc>
          <w:tcPr>
            <w:tcW w:w="79" w:type="dxa"/>
            <w:tcBorders/>
            <w:vAlign w:val="center"/>
          </w:tcPr>
          <w:p>
            <w:pPr>
              <w:pStyle w:val="TableContents"/>
              <w:bidi w:val="0"/>
              <w:spacing w:before="0" w:after="283"/>
              <w:jc w:val="center"/>
              <w:rPr>
                <w:caps w:val="false"/>
                <w:smallCaps w:val="false"/>
              </w:rPr>
            </w:pPr>
            <w:r>
              <w:rPr>
                <w:caps w:val="false"/>
                <w:smallCaps w:val="false"/>
              </w:rPr>
              <w:t> </w:t>
            </w:r>
          </w:p>
        </w:tc>
        <w:tc>
          <w:tcPr>
            <w:tcW w:w="10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same-stores</w:t>
            </w:r>
            <w:r>
              <w:rPr>
                <w:rFonts w:ascii="Times New Roman;Times;Serif" w:hAnsi="Times New Roman;Times;Serif"/>
                <w:b/>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Same-store sales</w:t>
            </w:r>
            <w:r>
              <w:rPr>
                <w:rFonts w:ascii="Times New Roman;Times;Serif" w:hAnsi="Times New Roman;Times;Serif"/>
                <w:b/>
                <w:i w:val="false"/>
                <w:caps w:val="false"/>
                <w:smallCaps w:val="false"/>
                <w:position w:val="7"/>
                <w:sz w:val="16"/>
                <w:sz w:val="20"/>
              </w:rPr>
              <w:t>(2)</w:t>
            </w:r>
            <w:r>
              <w:rPr>
                <w:rFonts w:ascii="Times New Roman;Times;Serif" w:hAnsi="Times New Roman;Times;Serif"/>
                <w:b/>
                <w:i w:val="false"/>
                <w:caps w:val="false"/>
                <w:smallCaps w:val="false"/>
                <w:sz w:val="20"/>
              </w:rPr>
              <w:t xml:space="preserve"> (US$ in thousands)</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96,182</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348,567</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349,157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30,297</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94,544</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79,971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44,614</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140,649</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24,258</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91,821</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195,351</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191,106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675,581</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656,654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same-store sales per day</w:t>
            </w:r>
            <w:r>
              <w:rPr>
                <w:rFonts w:ascii="Times New Roman;Times;Serif" w:hAnsi="Times New Roman;Times;Serif"/>
                <w:b/>
                <w:i w:val="false"/>
                <w:caps w:val="false"/>
                <w:smallCaps w:val="false"/>
                <w:position w:val="7"/>
                <w:sz w:val="16"/>
                <w:sz w:val="20"/>
              </w:rPr>
              <w:t>(3)</w:t>
            </w:r>
            <w:r>
              <w:rPr>
                <w:rFonts w:ascii="Times New Roman;Times;Serif" w:hAnsi="Times New Roman;Times;Serif"/>
                <w:b/>
                <w:i w:val="false"/>
                <w:caps w:val="false"/>
                <w:smallCaps w:val="false"/>
                <w:sz w:val="20"/>
              </w:rPr>
              <w:t> (US$ in thousands)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18.7</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same-store table turnover rate</w:t>
            </w:r>
            <w:r>
              <w:rPr>
                <w:rFonts w:ascii="Times New Roman;Times;Serif" w:hAnsi="Times New Roman;Times;Serif"/>
                <w:b/>
                <w:i w:val="false"/>
                <w:caps w:val="false"/>
                <w:smallCaps w:val="false"/>
                <w:position w:val="7"/>
                <w:sz w:val="16"/>
                <w:sz w:val="20"/>
              </w:rPr>
              <w:t>(4)</w:t>
            </w:r>
            <w:r>
              <w:rPr>
                <w:rFonts w:ascii="Times New Roman;Times;Serif" w:hAnsi="Times New Roman;Times;Serif"/>
                <w:b/>
                <w:i w:val="false"/>
                <w:caps w:val="false"/>
                <w:smallCaps w:val="false"/>
                <w:sz w:val="20"/>
              </w:rPr>
              <w:t> (times/day)</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Asia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r>
              <w:rPr>
                <w:rFonts w:ascii="Times New Roman;Times;Serif" w:hAnsi="Times New Roman;Times;Serif"/>
                <w:b w:val="false"/>
                <w:i w:val="false"/>
                <w:caps w:val="false"/>
                <w:smallCaps w:val="false"/>
                <w:position w:val="7"/>
                <w:sz w:val="16"/>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Overall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jc w:val="left"/>
        <w:rPr>
          <w:sz w:val="20"/>
        </w:rPr>
      </w:pPr>
      <w:r>
        <w:rPr>
          <w:i/>
          <w:sz w:val="20"/>
        </w:rPr>
        <w:t>Notes:</w:t>
      </w:r>
      <w:r>
        <w:rPr>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sz w:val="20"/>
              </w:rPr>
            </w:pPr>
            <w:r>
              <w:rPr>
                <w:sz w:val="20"/>
              </w:rPr>
              <w:t>(1)</w:t>
            </w:r>
          </w:p>
        </w:tc>
        <w:tc>
          <w:tcPr>
            <w:tcW w:w="9977" w:type="dxa"/>
            <w:tcBorders/>
            <w:vAlign w:val="center"/>
          </w:tcPr>
          <w:p>
            <w:pPr>
              <w:pStyle w:val="TableContents"/>
              <w:bidi w:val="0"/>
              <w:spacing w:before="0" w:after="283"/>
              <w:jc w:val="both"/>
              <w:rPr>
                <w:sz w:val="20"/>
              </w:rPr>
            </w:pPr>
            <w:r>
              <w:rPr>
                <w:sz w:val="20"/>
              </w:rPr>
              <w:t>Includes restaurants that commenced operations prior to the beginning of the years/periods under comparison and opened for more than 75 days in the fourth quarter and opened for more than 300 days in the full year of 2024 and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sz w:val="20"/>
              </w:rPr>
            </w:pPr>
            <w:r>
              <w:rPr>
                <w:sz w:val="20"/>
              </w:rPr>
              <w:t>(2)</w:t>
            </w:r>
          </w:p>
        </w:tc>
        <w:tc>
          <w:tcPr>
            <w:tcW w:w="9952" w:type="dxa"/>
            <w:tcBorders/>
            <w:vAlign w:val="center"/>
          </w:tcPr>
          <w:p>
            <w:pPr>
              <w:pStyle w:val="TableContents"/>
              <w:bidi w:val="0"/>
              <w:spacing w:before="0" w:after="283"/>
              <w:jc w:val="both"/>
              <w:rPr>
                <w:sz w:val="20"/>
              </w:rPr>
            </w:pPr>
            <w:r>
              <w:rPr>
                <w:sz w:val="20"/>
              </w:rPr>
              <w:t>Refers to the aggregate gross revenue from Haidilao restaurant operations at the Company’s same-stores for the years/periods indicated.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sz w:val="20"/>
              </w:rPr>
            </w:pPr>
            <w:r>
              <w:rPr>
                <w:sz w:val="20"/>
              </w:rPr>
              <w:t>(3)</w:t>
            </w:r>
          </w:p>
        </w:tc>
        <w:tc>
          <w:tcPr>
            <w:tcW w:w="9970" w:type="dxa"/>
            <w:tcBorders/>
            <w:vAlign w:val="center"/>
          </w:tcPr>
          <w:p>
            <w:pPr>
              <w:pStyle w:val="TableContents"/>
              <w:bidi w:val="0"/>
              <w:spacing w:before="0" w:after="283"/>
              <w:jc w:val="both"/>
              <w:rPr>
                <w:sz w:val="20"/>
              </w:rPr>
            </w:pPr>
            <w:r>
              <w:rPr>
                <w:sz w:val="20"/>
              </w:rPr>
              <w:t>Calculated by dividing the gross revenue from Haidilao restaurant operations for the years/periods by the total Haidilao restaurant operations days at the Company’s same-stores for the years/periods.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sz w:val="20"/>
              </w:rPr>
            </w:pPr>
            <w:r>
              <w:rPr>
                <w:sz w:val="20"/>
              </w:rPr>
              <w:t>(4)</w:t>
            </w:r>
          </w:p>
        </w:tc>
        <w:tc>
          <w:tcPr>
            <w:tcW w:w="9975" w:type="dxa"/>
            <w:tcBorders/>
            <w:vAlign w:val="center"/>
          </w:tcPr>
          <w:p>
            <w:pPr>
              <w:pStyle w:val="TableContents"/>
              <w:bidi w:val="0"/>
              <w:spacing w:before="0" w:after="283"/>
              <w:jc w:val="both"/>
              <w:rPr>
                <w:sz w:val="20"/>
              </w:rPr>
            </w:pPr>
            <w:r>
              <w:rPr>
                <w:sz w:val="20"/>
              </w:rPr>
              <w:t>Calculated by dividing the total tables served for the years/periods by the product of total Haidilao restaurant operations days for the years/periods and average table count at the Company’s same-stores during the years/ periods.</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260"/>
        <w:gridCol w:w="6275"/>
      </w:tblGrid>
      <w:tr>
        <w:trPr/>
        <w:tc>
          <w:tcPr>
            <w:tcW w:w="260" w:type="dxa"/>
            <w:tcBorders/>
            <w:vAlign w:val="center"/>
          </w:tcPr>
          <w:p>
            <w:pPr>
              <w:pStyle w:val="TableContents"/>
              <w:bidi w:val="0"/>
              <w:spacing w:before="0" w:after="283"/>
              <w:jc w:val="left"/>
              <w:rPr>
                <w:sz w:val="20"/>
              </w:rPr>
            </w:pPr>
            <w:r>
              <w:rPr>
                <w:sz w:val="20"/>
              </w:rPr>
              <w:t>(5)</w:t>
            </w:r>
          </w:p>
        </w:tc>
        <w:tc>
          <w:tcPr>
            <w:tcW w:w="6275" w:type="dxa"/>
            <w:tcBorders/>
            <w:vAlign w:val="center"/>
          </w:tcPr>
          <w:p>
            <w:pPr>
              <w:pStyle w:val="TableContents"/>
              <w:bidi w:val="0"/>
              <w:spacing w:before="0" w:after="283"/>
              <w:jc w:val="left"/>
              <w:rPr>
                <w:sz w:val="20"/>
              </w:rPr>
            </w:pPr>
            <w:r>
              <w:rPr>
                <w:sz w:val="20"/>
              </w:rPr>
              <w:t>Others include Australia, the United Kingdom, and the United Arab Emirates.</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Super Hi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 Hi operates Haidilao hot pot restaurants in the international market. Haidilao is a leading Chinese cuisine restaurant brand. With roots in Sichuan from 1994, Haidilao has become one of the most popular and largest Chinese cuisine brands in the world. With over 32 years of brand history, Haidilao is well-loved by guests for its unique dining experience — warm and attentive service, great ambiance and delicious food, standing out among global restaurant chains, which has made Haidilao restaurants into a worldwide cultural phenomenon. Haidilao has been ranked as one of the “world’s most valuable restaurant brands” for seven consecutive years since 2019, earning the title of “</w:t>
      </w:r>
      <w:r>
        <w:rPr>
          <w:rFonts w:ascii="Times New Roman;Times;Serif" w:hAnsi="Times New Roman;Times;Serif"/>
          <w:b w:val="false"/>
          <w:i/>
          <w:caps w:val="false"/>
          <w:smallCaps w:val="false"/>
          <w:sz w:val="20"/>
        </w:rPr>
        <w:t xml:space="preserve">World’s Strongest Restaurant Brand </w:t>
      </w:r>
      <w:r>
        <w:rPr>
          <w:rFonts w:ascii="Times New Roman;Times;Serif" w:hAnsi="Times New Roman;Times;Serif"/>
          <w:b w:val="false"/>
          <w:i w:val="false"/>
          <w:caps w:val="false"/>
          <w:smallCaps w:val="false"/>
          <w:sz w:val="20"/>
        </w:rPr>
        <w:t>” for 2024 (Brand Finance). As of December 31, 2025, Super Hi had 126 self-operated Haidilao restaurants in 14 countries across four continents.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Super Hi may also make written or oral forward-looking statements in its periodic reports to the U.S. Securities and Exchange Commission (the “SEC”), in its annual report to shareholders, in announcements, circulars or other publications made on the website of The Stock Exchange of Hong Kong Limited (the “SEHK”), in press releases and other written materials and in oral statements made by its officers, directors or employees to third parties. Statements that are not historical facts, including statements about Super Hi’s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Super Hi’s operations and business prospects; future developments, trends and conditions in the industry and markets in which Super Hi operates; Super Hi’s strategies, plans, objectives and goals and Super Hi’s ability to successfully implement these strategies, plans, objectives and goals; Super Hi’s ability to maintain an effective food safety and quality control system; Super Hi’s ability to continue to maintain its leadership position in the industry and markets in which Super Hi operates; Super Hi’s dividend policy; Super Hi’s capital expenditure plans; Super Hi’s expansion plans; Super Hi’s future debt levels and capital needs; Super Hi’s expectations regarding the effectiveness of its marketing initiatives and the relationship with third-party partners; Super Hi’s ability to recruit and retain qualified personnel; relevant government policies and regulations relating to Super Hi’s industry; Super Hi’s ability to protect its systems and infrastructures from cyber-attacks; general economic and business conditions globally; and assumptions underlying or related to any of the foregoing. Further information regarding these and other risks is included in Super Hi’s filings with the SEC and the announcements and filings on the website of the SEHK. All information provided in this press release is as of the date of this press release, and Super Hi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superhi_ir@superhi-inc.com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 (212) 574-7992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media.hq@superhi-inc.com</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CONDENSED CONSOLIDATED STATEMENTS OF PROFIT OR LOSS AND OTHER COMPREHENSIVE INCOME</w:t>
      </w:r>
    </w:p>
    <w:p>
      <w:pPr>
        <w:pStyle w:val="TextBody"/>
        <w:bidi w:val="0"/>
        <w:spacing w:before="0" w:after="0"/>
        <w:ind w:left="0" w:right="0" w:hanging="0"/>
        <w:jc w:val="left"/>
        <w:rPr>
          <w:caps w:val="false"/>
          <w:smallCaps w:val="false"/>
        </w:rPr>
      </w:pPr>
      <w:r>
        <w:rPr>
          <w:caps w:val="false"/>
          <w:smallCaps w:val="false"/>
        </w:rPr>
        <w:t> </w:t>
      </w:r>
    </w:p>
    <w:tbl>
      <w:tblPr>
        <w:tblW w:w="9665" w:type="dxa"/>
        <w:jc w:val="left"/>
        <w:tblInd w:w="0" w:type="dxa"/>
        <w:tblLayout w:type="fixed"/>
        <w:tblCellMar>
          <w:top w:w="0" w:type="dxa"/>
          <w:left w:w="0" w:type="dxa"/>
          <w:bottom w:w="0" w:type="dxa"/>
          <w:right w:w="0" w:type="dxa"/>
        </w:tblCellMar>
      </w:tblPr>
      <w:tblGrid>
        <w:gridCol w:w="5285"/>
        <w:gridCol w:w="60"/>
        <w:gridCol w:w="1081"/>
        <w:gridCol w:w="112"/>
        <w:gridCol w:w="84"/>
        <w:gridCol w:w="1081"/>
        <w:gridCol w:w="80"/>
        <w:gridCol w:w="60"/>
        <w:gridCol w:w="792"/>
        <w:gridCol w:w="82"/>
        <w:gridCol w:w="61"/>
        <w:gridCol w:w="792"/>
        <w:gridCol w:w="95"/>
      </w:tblGrid>
      <w:tr>
        <w:trPr/>
        <w:tc>
          <w:tcPr>
            <w:tcW w:w="5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2358"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For the three months ended </w:t>
              <w:br/>
              <w:t>December 31,</w:t>
            </w:r>
          </w:p>
        </w:tc>
        <w:tc>
          <w:tcPr>
            <w:tcW w:w="8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727"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For the years ended </w:t>
              <w:br/>
              <w:t>December 31,</w:t>
            </w:r>
          </w:p>
        </w:tc>
        <w:tc>
          <w:tcPr>
            <w:tcW w:w="9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5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08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112"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84"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08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2024</w:t>
            </w:r>
          </w:p>
        </w:tc>
        <w:tc>
          <w:tcPr>
            <w:tcW w:w="8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9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82"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1"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9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2024</w:t>
            </w:r>
          </w:p>
        </w:tc>
        <w:tc>
          <w:tcPr>
            <w:tcW w:w="9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5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08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USD’000</w:t>
            </w:r>
          </w:p>
        </w:tc>
        <w:tc>
          <w:tcPr>
            <w:tcW w:w="112"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84"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08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USD’000</w:t>
            </w:r>
          </w:p>
        </w:tc>
        <w:tc>
          <w:tcPr>
            <w:tcW w:w="8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9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USD’000</w:t>
            </w:r>
          </w:p>
        </w:tc>
        <w:tc>
          <w:tcPr>
            <w:tcW w:w="82"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1"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9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USD’000</w:t>
            </w:r>
          </w:p>
        </w:tc>
        <w:tc>
          <w:tcPr>
            <w:tcW w:w="9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Revenue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229,974</w:t>
            </w:r>
          </w:p>
        </w:tc>
        <w:tc>
          <w:tcPr>
            <w:tcW w:w="1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208,762</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840,755</w:t>
            </w:r>
          </w:p>
        </w:tc>
        <w:tc>
          <w:tcPr>
            <w:tcW w:w="8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778,308</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income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2,147</w:t>
            </w:r>
          </w:p>
        </w:tc>
        <w:tc>
          <w:tcPr>
            <w:tcW w:w="11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2,167</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9,495</w:t>
            </w:r>
          </w:p>
        </w:tc>
        <w:tc>
          <w:tcPr>
            <w:tcW w:w="8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7,523</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Raw materials and consumables used</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(76,864</w:t>
            </w:r>
          </w:p>
        </w:tc>
        <w:tc>
          <w:tcPr>
            <w:tcW w:w="1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(67,684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(282,818</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(257,723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Staff costs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(74,147</w:t>
            </w:r>
          </w:p>
        </w:tc>
        <w:tc>
          <w:tcPr>
            <w:tcW w:w="1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(67,171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(285,355</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(259,293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Rentals and related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(6,529</w:t>
            </w:r>
          </w:p>
        </w:tc>
        <w:tc>
          <w:tcPr>
            <w:tcW w:w="1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(5,661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(24,235</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(20,136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Utilities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(7,063</w:t>
            </w:r>
          </w:p>
        </w:tc>
        <w:tc>
          <w:tcPr>
            <w:tcW w:w="1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(7,131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(28,986</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(28,358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(21,563</w:t>
            </w:r>
          </w:p>
        </w:tc>
        <w:tc>
          <w:tcPr>
            <w:tcW w:w="1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(21,572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(82,651</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(80,972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Travelling and communication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(2,445</w:t>
            </w:r>
          </w:p>
        </w:tc>
        <w:tc>
          <w:tcPr>
            <w:tcW w:w="1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(7,996</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(6,449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Listing expenses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1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expenses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(24,527</w:t>
            </w:r>
          </w:p>
        </w:tc>
        <w:tc>
          <w:tcPr>
            <w:tcW w:w="1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(20,488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(87,095</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(70,735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(losses) and gains – net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(7,399</w:t>
            </w:r>
          </w:p>
        </w:tc>
        <w:tc>
          <w:tcPr>
            <w:tcW w:w="1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(25,656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9,840</w:t>
            </w:r>
          </w:p>
        </w:tc>
        <w:tc>
          <w:tcPr>
            <w:tcW w:w="8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(17,924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Finance costs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(3,053</w:t>
            </w:r>
          </w:p>
        </w:tc>
        <w:tc>
          <w:tcPr>
            <w:tcW w:w="1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(2,448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(11,447</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(8,538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2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Profit (Loss) before tax</w:t>
            </w:r>
          </w:p>
        </w:tc>
        <w:tc>
          <w:tcPr>
            <w:tcW w:w="6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b/>
                <w:sz w:val="20"/>
              </w:rPr>
            </w:pPr>
            <w:r>
              <w:rPr>
                <w:b/>
                <w:sz w:val="20"/>
              </w:rPr>
              <w:t>8,531</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b/>
                <w:sz w:val="20"/>
              </w:rPr>
            </w:pPr>
            <w:r>
              <w:rPr>
                <w:b/>
                <w:sz w:val="20"/>
              </w:rPr>
              <w:t>(8,605)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b/>
                <w:sz w:val="20"/>
              </w:rPr>
            </w:pPr>
            <w:r>
              <w:rPr>
                <w:b/>
                <w:sz w:val="20"/>
              </w:rPr>
              <w:t>49,507</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b/>
                <w:sz w:val="20"/>
              </w:rPr>
            </w:pPr>
            <w:r>
              <w:rPr>
                <w:b/>
                <w:sz w:val="20"/>
              </w:rPr>
              <w:t>33,243</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Income tax expense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(4,057</w:t>
            </w:r>
          </w:p>
        </w:tc>
        <w:tc>
          <w:tcPr>
            <w:tcW w:w="1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(3,003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(13,169</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(11,844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2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1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Profit (Loss) for the period/year</w:t>
            </w:r>
          </w:p>
        </w:tc>
        <w:tc>
          <w:tcPr>
            <w:tcW w:w="60" w:type="dxa"/>
            <w:tcBorders/>
            <w:shd w:fill="CCEEFF" w:val="clear"/>
            <w:vAlign w:val="center"/>
          </w:tcPr>
          <w:p>
            <w:pPr>
              <w:pStyle w:val="TableContents"/>
              <w:bidi w:val="0"/>
              <w:spacing w:before="0" w:after="283"/>
              <w:jc w:val="left"/>
              <w:rPr/>
            </w:pPr>
            <w:r>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4,474</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(11,608)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36,338</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21,399</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Other comprehensive income (expense)</w:t>
            </w:r>
          </w:p>
        </w:tc>
        <w:tc>
          <w:tcPr>
            <w:tcW w:w="6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i/>
                <w:caps w:val="false"/>
                <w:smallCaps w:val="false"/>
                <w:color w:val="231F20"/>
                <w:sz w:val="20"/>
              </w:rPr>
            </w:pPr>
            <w:r>
              <w:rPr>
                <w:rFonts w:ascii="Times New Roman;Times;Serif" w:hAnsi="Times New Roman;Times;Serif"/>
                <w:b/>
                <w:i/>
                <w:caps w:val="false"/>
                <w:smallCaps w:val="false"/>
                <w:color w:val="231F20"/>
                <w:sz w:val="20"/>
              </w:rPr>
              <w:t>Item that may be reclassified subsequently to profit or loss:</w:t>
            </w:r>
          </w:p>
        </w:tc>
        <w:tc>
          <w:tcPr>
            <w:tcW w:w="6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Exchange differences arising on translation of foreign operations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5,131</w:t>
            </w:r>
          </w:p>
        </w:tc>
        <w:tc>
          <w:tcPr>
            <w:tcW w:w="1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12,362</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(6,355</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12,028</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2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1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 comprehensive income for the period/year</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9,605</w:t>
            </w:r>
          </w:p>
        </w:tc>
        <w:tc>
          <w:tcPr>
            <w:tcW w:w="1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754</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29,983</w:t>
            </w:r>
          </w:p>
        </w:tc>
        <w:tc>
          <w:tcPr>
            <w:tcW w:w="8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33,427</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2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1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Profit (Loss) for the period/year attributable to:</w:t>
            </w:r>
          </w:p>
        </w:tc>
        <w:tc>
          <w:tcPr>
            <w:tcW w:w="6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Owners of the Company</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4,468</w:t>
            </w:r>
          </w:p>
        </w:tc>
        <w:tc>
          <w:tcPr>
            <w:tcW w:w="11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(11,340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36,429</w:t>
            </w:r>
          </w:p>
        </w:tc>
        <w:tc>
          <w:tcPr>
            <w:tcW w:w="8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21,801</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Non-controlling interests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w:t>
            </w:r>
          </w:p>
        </w:tc>
        <w:tc>
          <w:tcPr>
            <w:tcW w:w="1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(91</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(402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28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1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4,474</w:t>
            </w:r>
          </w:p>
        </w:tc>
        <w:tc>
          <w:tcPr>
            <w:tcW w:w="1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pPr>
            <w:r>
              <w:rPr/>
              <w:t> </w:t>
            </w:r>
          </w:p>
        </w:tc>
        <w:tc>
          <w:tcPr>
            <w:tcW w:w="108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(11,608)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36,338</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21,399</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 comprehensive income attributable to:</w:t>
            </w:r>
          </w:p>
        </w:tc>
        <w:tc>
          <w:tcPr>
            <w:tcW w:w="6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Owners of the Company</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9,599</w:t>
            </w:r>
          </w:p>
        </w:tc>
        <w:tc>
          <w:tcPr>
            <w:tcW w:w="1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1,022</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30,074</w:t>
            </w:r>
          </w:p>
        </w:tc>
        <w:tc>
          <w:tcPr>
            <w:tcW w:w="8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33,829</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Non-controlling interests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w:t>
            </w:r>
          </w:p>
        </w:tc>
        <w:tc>
          <w:tcPr>
            <w:tcW w:w="11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(91</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528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5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9,605</w:t>
            </w:r>
          </w:p>
        </w:tc>
        <w:tc>
          <w:tcPr>
            <w:tcW w:w="11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FFFFFF" w:val="clear"/>
            <w:vAlign w:val="center"/>
          </w:tcPr>
          <w:p>
            <w:pPr>
              <w:pStyle w:val="TableContents"/>
              <w:bidi w:val="0"/>
              <w:spacing w:before="0" w:after="283"/>
              <w:jc w:val="left"/>
              <w:rPr/>
            </w:pPr>
            <w:r>
              <w:rPr/>
              <w:t> </w:t>
            </w:r>
          </w:p>
        </w:tc>
        <w:tc>
          <w:tcPr>
            <w:tcW w:w="108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754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29,983</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33,427</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Earnings (Loss) per share</w:t>
            </w:r>
          </w:p>
        </w:tc>
        <w:tc>
          <w:tcPr>
            <w:tcW w:w="60"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Basic and diluted (USD)</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0.01</w:t>
            </w:r>
          </w:p>
        </w:tc>
        <w:tc>
          <w:tcPr>
            <w:tcW w:w="11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84"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(0.02)</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0.06</w:t>
            </w:r>
          </w:p>
        </w:tc>
        <w:tc>
          <w:tcPr>
            <w:tcW w:w="8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0.04</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CONDENSED CONSOLIDATED STATEMENTS OF FINANCIAL POSITION</w:t>
      </w:r>
    </w:p>
    <w:p>
      <w:pPr>
        <w:pStyle w:val="TextBody"/>
        <w:bidi w:val="0"/>
        <w:spacing w:before="0" w:after="0"/>
        <w:ind w:left="0" w:right="0" w:hanging="0"/>
        <w:jc w:val="left"/>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3695"/>
        <w:gridCol w:w="60"/>
        <w:gridCol w:w="770"/>
        <w:gridCol w:w="60"/>
        <w:gridCol w:w="60"/>
        <w:gridCol w:w="770"/>
        <w:gridCol w:w="7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4"/>
            <w:tcBorders>
              <w:bottom w:val="single" w:sz="8" w:space="0" w:color="000000"/>
            </w:tcBorders>
            <w:tcMar>
              <w:bottom w:w="28" w:type="dxa"/>
            </w:tcMar>
            <w:vAlign w:val="center"/>
          </w:tcPr>
          <w:p>
            <w:pPr>
              <w:pStyle w:val="TableContents"/>
              <w:bidi w:val="0"/>
              <w:spacing w:before="0" w:after="283"/>
              <w:jc w:val="center"/>
              <w:rPr>
                <w:b/>
                <w:sz w:val="20"/>
              </w:rPr>
            </w:pPr>
            <w:r>
              <w:rPr>
                <w:b/>
                <w:sz w:val="20"/>
              </w:rPr>
              <w:t>As at December 31,</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75" w:type="dxa"/>
            <w:tcBorders/>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USD’000</w:t>
            </w:r>
          </w:p>
        </w:tc>
        <w:tc>
          <w:tcPr>
            <w:tcW w:w="60" w:type="dxa"/>
            <w:tcBorders/>
            <w:shd w:fill="FFFF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USD’000</w:t>
            </w:r>
          </w:p>
        </w:tc>
        <w:tc>
          <w:tcPr>
            <w:tcW w:w="75" w:type="dxa"/>
            <w:tcBorders/>
            <w:shd w:fill="FFFFFF" w:val="clear"/>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Property, plant and equipment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160,301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151,901</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Right-of-use assets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204,180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185,514</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Intangible assets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311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278</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Deferred tax assets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4,725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3,799</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receivables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1,961</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1,961</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Prepayment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325</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373</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Rental and other deposits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20,709</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17,372</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392,512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361,198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Inventories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37,519</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31,521</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Trade and other receivables and prepayments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35,652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30,754</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Rental and other deposits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5,417</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3,378</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Pledged bank deposits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2,793</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2,855</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Bank balances and cash</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271,990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254,719</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353,371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323,227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Trade payables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36,337</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30,711</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Other payables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42,980</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38,100</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Amounts due to related parties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2,177</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1,329</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Tax payable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7,031</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5,411</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Lease liabilities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45,662</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41,407</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Contract liabilities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10,658</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9,669</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Provisions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1,987</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1,941</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146,832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128,568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206,539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194,659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CONDENSED CONSOLIDATED STATEMENTS OF FINANCIAL POSITION</w:t>
      </w:r>
    </w:p>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3755"/>
        <w:gridCol w:w="60"/>
        <w:gridCol w:w="770"/>
        <w:gridCol w:w="80"/>
        <w:gridCol w:w="60"/>
        <w:gridCol w:w="770"/>
        <w:gridCol w:w="95"/>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0" w:type="dxa"/>
            <w:gridSpan w:val="4"/>
            <w:tcBorders>
              <w:bottom w:val="single" w:sz="8" w:space="0" w:color="000000"/>
            </w:tcBorders>
            <w:tcMar>
              <w:bottom w:w="28" w:type="dxa"/>
            </w:tcMar>
            <w:vAlign w:val="center"/>
          </w:tcPr>
          <w:p>
            <w:pPr>
              <w:pStyle w:val="TableContents"/>
              <w:bidi w:val="0"/>
              <w:spacing w:before="0" w:after="283"/>
              <w:jc w:val="center"/>
              <w:rPr>
                <w:b/>
                <w:sz w:val="20"/>
              </w:rPr>
            </w:pPr>
            <w:r>
              <w:rPr>
                <w:b/>
                <w:sz w:val="20"/>
              </w:rPr>
              <w:t>As at December 31,</w:t>
            </w:r>
          </w:p>
        </w:tc>
        <w:tc>
          <w:tcPr>
            <w:tcW w:w="95" w:type="dxa"/>
            <w:tcBorders/>
            <w:vAlign w:val="center"/>
          </w:tcPr>
          <w:p>
            <w:pPr>
              <w:pStyle w:val="TableContents"/>
              <w:bidi w:val="0"/>
              <w:spacing w:before="0" w:after="283"/>
              <w:jc w:val="center"/>
              <w:rPr/>
            </w:pPr>
            <w:r>
              <w:rPr/>
              <w:t> </w:t>
            </w:r>
          </w:p>
        </w:tc>
      </w:tr>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2024</w:t>
            </w:r>
          </w:p>
        </w:tc>
        <w:tc>
          <w:tcPr>
            <w:tcW w:w="9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375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center"/>
              <w:rPr>
                <w:i/>
                <w:sz w:val="20"/>
              </w:rPr>
            </w:pPr>
            <w:r>
              <w:rPr>
                <w:i/>
                <w:sz w:val="20"/>
              </w:rPr>
              <w:t>USD’000</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center"/>
              <w:rPr>
                <w:i/>
                <w:sz w:val="20"/>
              </w:rPr>
            </w:pPr>
            <w:r>
              <w:rPr>
                <w:i/>
                <w:sz w:val="20"/>
              </w:rPr>
              <w:t>USD’000</w:t>
            </w:r>
          </w:p>
        </w:tc>
        <w:tc>
          <w:tcPr>
            <w:tcW w:w="95" w:type="dxa"/>
            <w:tcBorders/>
            <w:shd w:fill="FFFFFF" w:val="clear"/>
            <w:vAlign w:val="center"/>
          </w:tcPr>
          <w:p>
            <w:pPr>
              <w:pStyle w:val="TableContents"/>
              <w:bidi w:val="0"/>
              <w:spacing w:before="0" w:after="283"/>
              <w:jc w:val="center"/>
              <w:rPr/>
            </w:pPr>
            <w:r>
              <w:rPr/>
              <w:t> </w:t>
            </w:r>
          </w:p>
        </w:tc>
      </w:tr>
      <w:tr>
        <w:trPr/>
        <w:tc>
          <w:tcPr>
            <w:tcW w:w="3755" w:type="dxa"/>
            <w:tcBorders/>
            <w:shd w:fill="CCEEFF" w:val="clear"/>
            <w:vAlign w:val="center"/>
          </w:tcPr>
          <w:p>
            <w:pPr>
              <w:pStyle w:val="TableContents"/>
              <w:bidi w:val="0"/>
              <w:spacing w:before="0" w:after="283"/>
              <w:jc w:val="left"/>
              <w:rPr>
                <w:b/>
                <w:sz w:val="20"/>
              </w:rPr>
            </w:pPr>
            <w:r>
              <w:rPr>
                <w:b/>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Deferred tax liabilities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6,184</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7,504</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Lease liabilities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183,139</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171,219</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Contract liabilities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2,905</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2,980</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Provisions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15,179</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12,493</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207,407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194,196</w:t>
            </w:r>
          </w:p>
        </w:tc>
        <w:tc>
          <w:tcPr>
            <w:tcW w:w="9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b/>
                <w:sz w:val="20"/>
              </w:rPr>
            </w:pPr>
            <w:r>
              <w:rPr>
                <w:b/>
                <w:sz w:val="20"/>
              </w:rPr>
              <w:t>Net Assets</w:t>
            </w:r>
          </w:p>
        </w:tc>
        <w:tc>
          <w:tcPr>
            <w:tcW w:w="60" w:type="dxa"/>
            <w:tcBorders/>
            <w:shd w:fill="CCEEFF" w:val="clear"/>
            <w:vAlign w:val="center"/>
          </w:tcPr>
          <w:p>
            <w:pPr>
              <w:pStyle w:val="TableContents"/>
              <w:bidi w:val="0"/>
              <w:spacing w:before="0" w:after="283"/>
              <w:jc w:val="left"/>
              <w:rPr/>
            </w:pPr>
            <w:r>
              <w:rPr/>
              <w:t> </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391,644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361,661</w:t>
            </w:r>
          </w:p>
        </w:tc>
        <w:tc>
          <w:tcPr>
            <w:tcW w:w="9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b/>
                <w:sz w:val="20"/>
              </w:rPr>
            </w:pPr>
            <w:r>
              <w:rPr>
                <w:b/>
                <w:sz w:val="20"/>
              </w:rPr>
              <w:t>Capital and Reserves</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 capital</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Shares held under share award scheme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Share premium</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550,593</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550,593</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Reserves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(160,494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(190,568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75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CCEEFF" w:val="clear"/>
            <w:vAlign w:val="center"/>
          </w:tcPr>
          <w:p>
            <w:pPr>
              <w:pStyle w:val="TableContents"/>
              <w:bidi w:val="0"/>
              <w:spacing w:before="0" w:after="283"/>
              <w:jc w:val="left"/>
              <w:rPr>
                <w:sz w:val="20"/>
              </w:rPr>
            </w:pPr>
            <w:r>
              <w:rPr>
                <w:sz w:val="20"/>
              </w:rPr>
              <w:t>Equity attributable to owners of the Company</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b/>
                <w:sz w:val="20"/>
              </w:rPr>
            </w:pPr>
            <w:r>
              <w:rPr>
                <w:b/>
                <w:sz w:val="20"/>
              </w:rPr>
              <w:t>390,102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b/>
                <w:sz w:val="20"/>
              </w:rPr>
            </w:pPr>
            <w:r>
              <w:rPr>
                <w:b/>
                <w:sz w:val="20"/>
              </w:rPr>
              <w:t>360,028</w:t>
            </w:r>
          </w:p>
        </w:tc>
        <w:tc>
          <w:tcPr>
            <w:tcW w:w="9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Non-controlling interests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1,542</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1,633</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Total Equity</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391,644</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361,661</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USD1,000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UNAUDITED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9291" w:type="dxa"/>
        <w:jc w:val="left"/>
        <w:tblInd w:w="0" w:type="dxa"/>
        <w:tblLayout w:type="fixed"/>
        <w:tblCellMar>
          <w:top w:w="0" w:type="dxa"/>
          <w:left w:w="0" w:type="dxa"/>
          <w:bottom w:w="0" w:type="dxa"/>
          <w:right w:w="0" w:type="dxa"/>
        </w:tblCellMar>
      </w:tblPr>
      <w:tblGrid>
        <w:gridCol w:w="4955"/>
        <w:gridCol w:w="60"/>
        <w:gridCol w:w="1173"/>
        <w:gridCol w:w="100"/>
        <w:gridCol w:w="75"/>
        <w:gridCol w:w="966"/>
        <w:gridCol w:w="80"/>
        <w:gridCol w:w="60"/>
        <w:gridCol w:w="792"/>
        <w:gridCol w:w="82"/>
        <w:gridCol w:w="61"/>
        <w:gridCol w:w="792"/>
        <w:gridCol w:w="95"/>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2314"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For the three months ended</w:t>
              <w:br/>
              <w:t>December 31,</w:t>
            </w:r>
          </w:p>
        </w:tc>
        <w:tc>
          <w:tcPr>
            <w:tcW w:w="8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727"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 xml:space="preserve">For the years ended </w:t>
              <w:br/>
              <w:t>December 31,</w:t>
            </w:r>
          </w:p>
        </w:tc>
        <w:tc>
          <w:tcPr>
            <w:tcW w:w="9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117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10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96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2024</w:t>
            </w:r>
          </w:p>
        </w:tc>
        <w:tc>
          <w:tcPr>
            <w:tcW w:w="8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0"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9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2025</w:t>
            </w:r>
          </w:p>
        </w:tc>
        <w:tc>
          <w:tcPr>
            <w:tcW w:w="82"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61"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c>
          <w:tcPr>
            <w:tcW w:w="79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2024</w:t>
            </w:r>
          </w:p>
        </w:tc>
        <w:tc>
          <w:tcPr>
            <w:tcW w:w="95" w:type="dxa"/>
            <w:tcBorders/>
            <w:vAlign w:val="center"/>
          </w:tcPr>
          <w:p>
            <w:pPr>
              <w:pStyle w:val="TableContents"/>
              <w:bidi w:val="0"/>
              <w:spacing w:before="0" w:after="283"/>
              <w:jc w:val="center"/>
              <w:rPr>
                <w:caps w:val="false"/>
                <w:smallCaps w:val="false"/>
                <w:color w:val="231F20"/>
              </w:rPr>
            </w:pPr>
            <w:r>
              <w:rPr>
                <w:caps w:val="false"/>
                <w:smallCaps w:val="false"/>
                <w:color w:val="231F20"/>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center"/>
              <w:rPr>
                <w:i/>
              </w:rPr>
            </w:pPr>
            <w:r>
              <w:rPr>
                <w:i/>
              </w:rPr>
              <w:t>USD’000</w:t>
            </w:r>
          </w:p>
        </w:tc>
        <w:tc>
          <w:tcPr>
            <w:tcW w:w="10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center"/>
              <w:rPr>
                <w:i/>
                <w:sz w:val="20"/>
              </w:rPr>
            </w:pPr>
            <w:r>
              <w:rPr>
                <w:i/>
                <w:sz w:val="20"/>
              </w:rPr>
              <w:t>USD’000</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center"/>
              <w:rPr>
                <w:i/>
                <w:sz w:val="20"/>
              </w:rPr>
            </w:pPr>
            <w:r>
              <w:rPr>
                <w:i/>
                <w:sz w:val="20"/>
              </w:rPr>
              <w:t>USD’000</w:t>
            </w:r>
          </w:p>
        </w:tc>
        <w:tc>
          <w:tcPr>
            <w:tcW w:w="82"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center"/>
              <w:rPr/>
            </w:pPr>
            <w:r>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center"/>
              <w:rPr>
                <w:i/>
                <w:sz w:val="20"/>
              </w:rPr>
            </w:pPr>
            <w:r>
              <w:rPr>
                <w:i/>
                <w:sz w:val="20"/>
              </w:rPr>
              <w:t>USD’000</w:t>
            </w:r>
          </w:p>
        </w:tc>
        <w:tc>
          <w:tcPr>
            <w:tcW w:w="95" w:type="dxa"/>
            <w:tcBorders/>
            <w:shd w:fill="FFFFFF" w:val="clear"/>
            <w:vAlign w:val="center"/>
          </w:tcPr>
          <w:p>
            <w:pPr>
              <w:pStyle w:val="TableContents"/>
              <w:bidi w:val="0"/>
              <w:spacing w:before="0" w:after="283"/>
              <w:jc w:val="center"/>
              <w:rPr/>
            </w:pPr>
            <w:r>
              <w:rPr/>
              <w:t> </w:t>
            </w:r>
          </w:p>
        </w:tc>
      </w:tr>
      <w:tr>
        <w:trPr/>
        <w:tc>
          <w:tcPr>
            <w:tcW w:w="4955" w:type="dxa"/>
            <w:tcBorders/>
            <w:shd w:fill="CCEEFF" w:val="clear"/>
            <w:vAlign w:val="center"/>
          </w:tcPr>
          <w:p>
            <w:pPr>
              <w:pStyle w:val="TableContents"/>
              <w:bidi w:val="0"/>
              <w:spacing w:before="0" w:after="283"/>
              <w:jc w:val="left"/>
              <w:rPr>
                <w:sz w:val="20"/>
              </w:rPr>
            </w:pPr>
            <w:r>
              <w:rPr>
                <w:sz w:val="20"/>
              </w:rPr>
              <w:t>Net cash from operating activities</w:t>
            </w:r>
          </w:p>
        </w:tc>
        <w:tc>
          <w:tcPr>
            <w:tcW w:w="60"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sz w:val="20"/>
              </w:rPr>
            </w:pPr>
            <w:r>
              <w:rPr>
                <w:sz w:val="20"/>
              </w:rPr>
              <w:t>34,214</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20"/>
              </w:rPr>
            </w:pPr>
            <w:r>
              <w:rPr>
                <w:sz w:val="20"/>
              </w:rPr>
              <w:t>30,995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sz w:val="20"/>
              </w:rPr>
            </w:pPr>
            <w:r>
              <w:rPr>
                <w:sz w:val="20"/>
              </w:rPr>
              <w:t>114,648</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sz w:val="20"/>
              </w:rPr>
            </w:pPr>
            <w:r>
              <w:rPr>
                <w:sz w:val="20"/>
              </w:rPr>
              <w:t>119,696</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cash (used in) from investing activities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(96,700</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23,347</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(177,309</w:t>
            </w:r>
          </w:p>
        </w:tc>
        <w:tc>
          <w:tcPr>
            <w:tcW w:w="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(27,616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Net cash (used in) from financing activities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(11,311</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(8,813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(51,035</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12,577</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95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955" w:type="dxa"/>
            <w:tcBorders/>
            <w:shd w:fill="CCEEFF" w:val="clear"/>
            <w:vAlign w:val="center"/>
          </w:tcPr>
          <w:p>
            <w:pPr>
              <w:pStyle w:val="TableContents"/>
              <w:bidi w:val="0"/>
              <w:spacing w:before="0" w:after="283"/>
              <w:jc w:val="left"/>
              <w:rPr>
                <w:b/>
                <w:sz w:val="20"/>
              </w:rPr>
            </w:pPr>
            <w:r>
              <w:rPr>
                <w:b/>
                <w:sz w:val="20"/>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(73,797</w:t>
            </w:r>
          </w:p>
        </w:tc>
        <w:tc>
          <w:tcPr>
            <w:tcW w:w="100" w:type="dxa"/>
            <w:tcBorders/>
            <w:shd w:fill="CCEEFF" w:val="clear"/>
            <w:vAlign w:val="center"/>
          </w:tcPr>
          <w:p>
            <w:pPr>
              <w:pStyle w:val="TableContents"/>
              <w:bidi w:val="0"/>
              <w:spacing w:before="0" w:after="283"/>
              <w:jc w:val="left"/>
              <w:rPr>
                <w:b/>
                <w:sz w:val="20"/>
              </w:rPr>
            </w:pPr>
            <w:r>
              <w:rPr>
                <w:b/>
                <w:sz w:val="20"/>
              </w:rPr>
              <w:t>)</w:t>
            </w:r>
          </w:p>
        </w:tc>
        <w:tc>
          <w:tcPr>
            <w:tcW w:w="75" w:type="dxa"/>
            <w:tcBorders/>
            <w:shd w:fill="CCEEFF" w:val="clear"/>
            <w:vAlign w:val="center"/>
          </w:tcPr>
          <w:p>
            <w:pPr>
              <w:pStyle w:val="TableContents"/>
              <w:bidi w:val="0"/>
              <w:spacing w:before="0" w:after="283"/>
              <w:jc w:val="left"/>
              <w:rPr/>
            </w:pPr>
            <w:r>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45,529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(113,696</w:t>
            </w:r>
          </w:p>
        </w:tc>
        <w:tc>
          <w:tcPr>
            <w:tcW w:w="82" w:type="dxa"/>
            <w:tcBorders/>
            <w:shd w:fill="CCEEFF" w:val="clear"/>
            <w:vAlign w:val="center"/>
          </w:tcPr>
          <w:p>
            <w:pPr>
              <w:pStyle w:val="TableContents"/>
              <w:bidi w:val="0"/>
              <w:spacing w:before="0" w:after="283"/>
              <w:jc w:val="left"/>
              <w:rPr>
                <w:b/>
                <w:sz w:val="20"/>
              </w:rPr>
            </w:pPr>
            <w:r>
              <w:rPr>
                <w:b/>
                <w:sz w:val="20"/>
              </w:rPr>
              <w:t>)</w:t>
            </w:r>
          </w:p>
        </w:tc>
        <w:tc>
          <w:tcPr>
            <w:tcW w:w="61" w:type="dxa"/>
            <w:tcBorders/>
            <w:shd w:fill="CCEEFF" w:val="cle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104,657</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sz w:val="20"/>
              </w:rPr>
            </w:pPr>
            <w:r>
              <w:rPr>
                <w:sz w:val="20"/>
              </w:rPr>
              <w:t>Cash and cash equivalents at beginning of the period/year</w:t>
            </w:r>
          </w:p>
        </w:tc>
        <w:tc>
          <w:tcPr>
            <w:tcW w:w="60"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sz w:val="20"/>
              </w:rPr>
            </w:pPr>
            <w:r>
              <w:rPr>
                <w:sz w:val="20"/>
              </w:rPr>
              <w:t>217,771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20"/>
              </w:rPr>
            </w:pPr>
            <w:r>
              <w:rPr>
                <w:sz w:val="20"/>
              </w:rPr>
              <w:t>215,162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sz w:val="20"/>
              </w:rPr>
            </w:pPr>
            <w:r>
              <w:rPr>
                <w:sz w:val="20"/>
              </w:rPr>
              <w:t>254,719</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sz w:val="20"/>
              </w:rPr>
            </w:pPr>
            <w:r>
              <w:rPr>
                <w:sz w:val="20"/>
              </w:rPr>
              <w:t>152,908</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Effect of foreign exchange rate changes</w:t>
            </w:r>
          </w:p>
        </w:tc>
        <w:tc>
          <w:tcPr>
            <w:tcW w:w="60"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sz w:val="20"/>
              </w:rPr>
            </w:pPr>
            <w:r>
              <w:rPr>
                <w:sz w:val="20"/>
              </w:rPr>
              <w:t>616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(5,972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3,567</w:t>
            </w:r>
          </w:p>
        </w:tc>
        <w:tc>
          <w:tcPr>
            <w:tcW w:w="8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(2,846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4955" w:type="dxa"/>
            <w:tcBorders/>
            <w:shd w:fill="CCEEFF" w:val="clear"/>
            <w:vAlign w:val="center"/>
          </w:tcPr>
          <w:p>
            <w:pPr>
              <w:pStyle w:val="TableContents"/>
              <w:bidi w:val="0"/>
              <w:spacing w:before="0" w:after="283"/>
              <w:jc w:val="left"/>
              <w:rPr>
                <w:b/>
                <w:sz w:val="20"/>
              </w:rPr>
            </w:pPr>
            <w:r>
              <w:rPr>
                <w:b/>
                <w:sz w:val="20"/>
              </w:rPr>
              <w:t xml:space="preserve">Cash and cash equivalents at </w:t>
            </w:r>
            <w:r>
              <w:rPr>
                <w:rFonts w:ascii="Times New Roman;Times;Serif" w:hAnsi="Times New Roman;Times;Serif"/>
                <w:b/>
                <w:color w:val="231F20"/>
                <w:sz w:val="20"/>
              </w:rPr>
              <w:t>end of the period/year</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144,590</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254,719</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144,590</w:t>
            </w:r>
          </w:p>
        </w:tc>
        <w:tc>
          <w:tcPr>
            <w:tcW w:w="8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254,719</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3"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6"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955" w:type="dxa"/>
            <w:tcBorders/>
            <w:shd w:fill="CCEEFF" w:val="clear"/>
            <w:vAlign w:val="center"/>
          </w:tcPr>
          <w:p>
            <w:pPr>
              <w:pStyle w:val="TableContents"/>
              <w:bidi w:val="0"/>
              <w:spacing w:before="0" w:after="283"/>
              <w:jc w:val="left"/>
              <w:rPr>
                <w:b/>
                <w:sz w:val="20"/>
              </w:rPr>
            </w:pPr>
            <w:r>
              <w:rPr>
                <w:b/>
                <w:sz w:val="20"/>
              </w:rPr>
              <w:t>Represented by:</w:t>
            </w:r>
          </w:p>
        </w:tc>
        <w:tc>
          <w:tcPr>
            <w:tcW w:w="60"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Bank balances and cash</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271,990</w:t>
            </w:r>
          </w:p>
        </w:tc>
        <w:tc>
          <w:tcPr>
            <w:tcW w:w="10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254,719</w:t>
            </w:r>
          </w:p>
        </w:tc>
        <w:tc>
          <w:tcPr>
            <w:tcW w:w="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271,990</w:t>
            </w:r>
          </w:p>
        </w:tc>
        <w:tc>
          <w:tcPr>
            <w:tcW w:w="8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254,719</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Less: bank deposits with original maturity over three months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(127,400</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(127,400</w:t>
            </w:r>
          </w:p>
        </w:tc>
        <w:tc>
          <w:tcPr>
            <w:tcW w:w="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color w:val="231F20"/>
              </w:rPr>
            </w:pPr>
            <w:r>
              <w:rPr>
                <w:caps w:val="false"/>
                <w:smallCaps w:val="false"/>
                <w:color w:val="231F20"/>
              </w:rPr>
              <w:t>–</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95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73"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10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66"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8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61"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792" w:type="dxa"/>
            <w:tcBorders/>
            <w:shd w:fill="CCEEFF" w:val="clear"/>
            <w:vAlign w:val="center"/>
          </w:tcPr>
          <w:p>
            <w:pPr>
              <w:pStyle w:val="TableContents"/>
              <w:bidi w:val="0"/>
              <w:spacing w:before="0" w:after="283"/>
              <w:jc w:val="right"/>
              <w:rPr>
                <w:caps w:val="false"/>
                <w:smallCaps w:val="false"/>
                <w:color w:val="231F20"/>
              </w:rPr>
            </w:pPr>
            <w:r>
              <w:rPr>
                <w:caps w:val="false"/>
                <w:smallCaps w:val="false"/>
                <w:color w:val="231F20"/>
              </w:rPr>
              <w:t> </w:t>
            </w:r>
          </w:p>
        </w:tc>
        <w:tc>
          <w:tcPr>
            <w:tcW w:w="95"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144,590</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966"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254,719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144,590</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254,719</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color w:val="231F20"/>
        </w:rPr>
      </w:pPr>
      <w:r>
        <w:rPr>
          <w:caps w:val="false"/>
          <w:smallCaps w:val="false"/>
          <w:color w:val="231F2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5027</Words>
  <Characters>27947</Characters>
  <CharactersWithSpaces>34168</CharactersWithSpaces>
  <Paragraphs>2883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