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SUPER HI INTERNATIONAL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Paya Lebar Link, #09-04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PLQ 1 Paya Lebar Quarter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408533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+65 6378 1921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Super Hi Reports Unaudited Financial Results for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 HI INTERNATIONAL HOLDING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Ping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Ping Shu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1071245"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 Hi Reports Unaudited Financial Results for the First Quarter of 2026</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SINGAPORE, May 20, 2026 (GLOBE NEWSWIRE) -- Super Hi International Holding Ltd. (NASDAQ: HDL and HKEX: 9658) (“Super Hi” or the “Company”), a leading Chinese cuisine restaurant brand operating Haidilao hot pot restaurants in the international market, today announced its unaudited financial results for the first quarter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US$225.9 million, representing an increase of 14.2% from US$197.8 million in the same period of 2025.</w:t>
      </w:r>
    </w:p>
    <w:p>
      <w:pPr>
        <w:spacing w:after="0" w:line="229"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the Company opened 1 new Haidilao restaurant in Southeast Asia. The total number of Haidilao restaurants expanded from 126 as of December 31, 2025 to 127 as of March 31, 2026.</w:t>
      </w:r>
    </w:p>
    <w:p>
      <w:pPr>
        <w:spacing w:after="0" w:line="161" w:lineRule="exact"/>
        <w:rPr>
          <w:rFonts w:ascii="Times New Roman" w:cs="Times New Roman" w:eastAsia="Times New Roman" w:hAnsi="Times New Roman"/>
          <w:sz w:val="18"/>
          <w:szCs w:val="18"/>
          <w:color w:val="auto"/>
        </w:rPr>
      </w:pPr>
    </w:p>
    <w:p>
      <w:pPr>
        <w:ind w:left="660" w:right="140" w:hanging="328"/>
        <w:spacing w:after="0" w:line="210"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Overall average table turnover rate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4.0 times per day, compared to 3.9 times per day in the same period of 2025.</w:t>
      </w:r>
      <w:r>
        <w:rPr>
          <w:rFonts w:ascii="Times New Roman" w:cs="Times New Roman" w:eastAsia="Times New Roman" w:hAnsi="Times New Roman"/>
          <w:sz w:val="18"/>
          <w:szCs w:val="18"/>
          <w:b w:val="1"/>
          <w:bCs w:val="1"/>
          <w:color w:val="auto"/>
        </w:rPr>
        <w:t xml:space="preserve"> Overall average same-store table turnover rate</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4.0 times per day, consistent with the same period of 2025.</w:t>
      </w:r>
    </w:p>
    <w:p>
      <w:pPr>
        <w:spacing w:after="0" w:line="7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had over 8.1 million </w:t>
      </w:r>
      <w:r>
        <w:rPr>
          <w:rFonts w:ascii="Times New Roman" w:cs="Times New Roman" w:eastAsia="Times New Roman" w:hAnsi="Times New Roman"/>
          <w:sz w:val="18"/>
          <w:szCs w:val="18"/>
          <w:b w:val="1"/>
          <w:bCs w:val="1"/>
          <w:color w:val="auto"/>
        </w:rPr>
        <w:t>total guest visits</w:t>
      </w:r>
      <w:r>
        <w:rPr>
          <w:rFonts w:ascii="Times New Roman" w:cs="Times New Roman" w:eastAsia="Times New Roman" w:hAnsi="Times New Roman"/>
          <w:sz w:val="18"/>
          <w:szCs w:val="18"/>
          <w:color w:val="auto"/>
        </w:rPr>
        <w:t>, representing an increase of 3.8% from 7.8 million in the same period of 2025.</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Same-store sales</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US$183.5 million, representing an increase of 4.0% from US$176.4 million in the same period of 2025.</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2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Income from operation</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US$14.0 million, representing an increase of 70.7% from US$8.2 million in the same period of 2025.</w:t>
      </w:r>
    </w:p>
    <w:p>
      <w:pPr>
        <w:spacing w:after="0" w:line="77" w:lineRule="exact"/>
        <w:rPr>
          <w:rFonts w:ascii="Times New Roman" w:cs="Times New Roman" w:eastAsia="Times New Roman" w:hAnsi="Times New Roman"/>
          <w:sz w:val="36"/>
          <w:szCs w:val="36"/>
          <w:color w:val="auto"/>
          <w:vertAlign w:val="superscript"/>
        </w:rPr>
      </w:pPr>
    </w:p>
    <w:p>
      <w:pPr>
        <w:ind w:left="660" w:right="6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Income from operation margin</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6.2%, compared to 4.1% in the same period of 2025, representing an increase of 2.1 percentage points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year.</w:t>
      </w:r>
    </w:p>
    <w:p>
      <w:pPr>
        <w:spacing w:after="0" w:line="200" w:lineRule="exact"/>
        <w:rPr>
          <w:sz w:val="20"/>
          <w:szCs w:val="20"/>
          <w:color w:val="auto"/>
        </w:rPr>
      </w:pPr>
    </w:p>
    <w:p>
      <w:pPr>
        <w:ind w:right="180"/>
        <w:spacing w:after="0" w:line="214" w:lineRule="auto"/>
        <w:rPr>
          <w:sz w:val="20"/>
          <w:szCs w:val="20"/>
          <w:color w:val="auto"/>
        </w:rPr>
      </w:pPr>
      <w:r>
        <w:rPr>
          <w:rFonts w:ascii="Times New Roman" w:cs="Times New Roman" w:eastAsia="Times New Roman" w:hAnsi="Times New Roman"/>
          <w:sz w:val="18"/>
          <w:szCs w:val="18"/>
          <w:color w:val="auto"/>
        </w:rPr>
        <w:t>Mr. Li Yu, CEO &amp; Executive Director of Super Hi, commented, “In the first quarter of 2026, the Company’s total revenue increased by 14.2% year over year to US$225.9 million. Our income from operation margin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rebounded to 6.2% this quarter, representing an increase of 2.1 percentage points from the same period last year. Our ‘Dual Focus on Employees and Customers’ has continued to drive improvements in Haidilao restaurants operational performance. With steady growth in guest visits, Haidilao restaurants achieved an overall average table turnover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4.0 times per day this quarter.</w:t>
      </w:r>
    </w:p>
    <w:p>
      <w:pPr>
        <w:spacing w:after="0" w:line="1" w:lineRule="exact"/>
        <w:rPr>
          <w:sz w:val="20"/>
          <w:szCs w:val="20"/>
          <w:color w:val="auto"/>
        </w:rPr>
      </w:pPr>
    </w:p>
    <w:p>
      <w:pPr>
        <w:ind w:right="240"/>
        <w:spacing w:after="0" w:line="209" w:lineRule="auto"/>
        <w:rPr>
          <w:sz w:val="20"/>
          <w:szCs w:val="20"/>
          <w:color w:val="auto"/>
        </w:rPr>
      </w:pPr>
      <w:r>
        <w:rPr>
          <w:rFonts w:ascii="Times New Roman" w:cs="Times New Roman" w:eastAsia="Times New Roman" w:hAnsi="Times New Roman"/>
          <w:sz w:val="18"/>
          <w:szCs w:val="18"/>
          <w:color w:val="auto"/>
        </w:rPr>
        <w:t>Revenue from Haidilao restaurants increased by 8.4% and same-store sales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grew by 4.0% year over year. During the quarter, the Company continued to expand its revenue streams, with our delivery business and other business growing by a combined 130.9% compared to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6" w:lineRule="exact"/>
        <w:rPr>
          <w:sz w:val="20"/>
          <w:szCs w:val="20"/>
          <w:color w:val="auto"/>
        </w:rPr>
      </w:pPr>
    </w:p>
    <w:p>
      <w:pPr>
        <w:ind w:right="280" w:firstLine="8"/>
        <w:spacing w:after="0" w:line="195"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by dividing the total tables served for the period by the product of total Haidilao restaurant operations days for the period and average table count during the period.</w:t>
      </w:r>
    </w:p>
    <w:p>
      <w:pPr>
        <w:spacing w:after="0" w:line="24" w:lineRule="exact"/>
        <w:rPr>
          <w:sz w:val="20"/>
          <w:szCs w:val="20"/>
          <w:color w:val="auto"/>
        </w:rPr>
      </w:pPr>
    </w:p>
    <w:p>
      <w:pPr>
        <w:ind w:right="280" w:firstLine="8"/>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by dividing the total tables served for the period by the product of total Haidilao restaurant operations days for the period and average table count at the Company’s same-stores during the period.</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Refers to the aggregate gross revenue of Haidilao restaurant operations at the same-stores for the period indicated.</w:t>
      </w:r>
    </w:p>
    <w:p>
      <w:pPr>
        <w:spacing w:after="0" w:line="22" w:lineRule="exact"/>
        <w:rPr>
          <w:sz w:val="20"/>
          <w:szCs w:val="20"/>
          <w:color w:val="auto"/>
        </w:rPr>
      </w:pPr>
    </w:p>
    <w:p>
      <w:pPr>
        <w:ind w:right="80" w:firstLine="8"/>
        <w:spacing w:after="0" w:line="210"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by excluding interest income, finance costs, unrealized foreign exchange differences arising from remeasurement of balances which are not denominated in functional currency, net gain arising on financial assets at fair value through profit or loss and income tax expense from profit (loss) for the period.</w:t>
      </w:r>
    </w:p>
    <w:p>
      <w:pPr>
        <w:spacing w:after="0" w:line="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Calculated by dividing income from operation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by total revenue.</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1177925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45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02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“Looking ahead, we remain committed to our long-term strategy of ‘Dual Focus on Employees and Customers’. We will continue to enhance customer experience while fostering a family-style culture to reinforce the competitive advantages of Haidilao restaurants and deliver sustainable long-term growth for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US$225.9 million, representing an increase of 14.2% from US$197.8 million in the same period of 2025.</w:t>
      </w:r>
    </w:p>
    <w:p>
      <w:pPr>
        <w:spacing w:after="0" w:line="229" w:lineRule="exact"/>
        <w:rPr>
          <w:sz w:val="20"/>
          <w:szCs w:val="20"/>
          <w:color w:val="auto"/>
        </w:rPr>
      </w:pPr>
    </w:p>
    <w:p>
      <w:pPr>
        <w:ind w:left="660" w:right="80" w:hanging="328"/>
        <w:spacing w:after="0" w:line="23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Haidilao restaurant operations was US$204.2 million, representing an increase of 8.4% from US$188.4 million in the same period of 2025. The increase was primarily attributable to (i) significantly improved operational performance at existing Haidilao restaurants driven by our ongoing operational optimization initiatives, with higher overall average table turnover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increased customer traffic, further strengthening brand influence; and (ii) continued expansion of the restaurant network, resulting in a year-over-year increase in the total number of restaurants.</w:t>
      </w:r>
    </w:p>
    <w:p>
      <w:pPr>
        <w:spacing w:after="0" w:line="199" w:lineRule="exact"/>
        <w:rPr>
          <w:rFonts w:ascii="Times New Roman" w:cs="Times New Roman" w:eastAsia="Times New Roman" w:hAnsi="Times New Roman"/>
          <w:sz w:val="18"/>
          <w:szCs w:val="18"/>
          <w:color w:val="auto"/>
        </w:rPr>
      </w:pPr>
    </w:p>
    <w:p>
      <w:pPr>
        <w:jc w:val="both"/>
        <w:ind w:left="660" w:righ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delivery business was US$7.3 million, representing an increase of 82.5% from US$4.0 million in the same period of 2025, primarily due to (i) the continuous optimization of delivery products and services based on market demand; and (ii) strengthened strategic marketing collaborations with local food delivery platforms.</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other business was US$14.4 million, representing an increase of 166.7% from US$5.4 million in the same period of 2025. The increase was mainly driven by (i) the increasing popularity of hot pot condiment products, Haidilao-branded and sub-branded food products among local customers and retailers; and (ii) the incubation of secondary branded restaurants under the “Pomegranate Plan” through diversification into multiple business concepts.</w:t>
      </w:r>
    </w:p>
    <w:p>
      <w:pPr>
        <w:spacing w:after="0" w:line="17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Raw materials and consumables used </w:t>
      </w:r>
      <w:r>
        <w:rPr>
          <w:rFonts w:ascii="Times New Roman" w:cs="Times New Roman" w:eastAsia="Times New Roman" w:hAnsi="Times New Roman"/>
          <w:sz w:val="18"/>
          <w:szCs w:val="18"/>
          <w:color w:val="auto"/>
        </w:rPr>
        <w:t>were US$76.6 million, representing an increase of 14.0% from US$67.2 million in the same period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driven by (i) business expansion, in line with the Company’s revenue growth; and (ii) increased sales of hot pot condiment products, Haidilao-branded and sub-branded food products, and the expansion of the secondary branded restaurants. In the first quarter of 2026, raw materials and consumables used as a percentage of revenue decreased to 33.9% from 34.0% in the same period of 2025.</w:t>
      </w:r>
    </w:p>
    <w:p>
      <w:pPr>
        <w:spacing w:after="0" w:line="1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Staff costs </w:t>
      </w:r>
      <w:r>
        <w:rPr>
          <w:rFonts w:ascii="Times New Roman" w:cs="Times New Roman" w:eastAsia="Times New Roman" w:hAnsi="Times New Roman"/>
          <w:sz w:val="18"/>
          <w:szCs w:val="18"/>
          <w:color w:val="auto"/>
        </w:rPr>
        <w:t>were US$76.7 million, representing an increase of 9.9% from US$69.8 million in the same period of 2025. The increase was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(i) increased number of employees to support the continued expansion of our restaurant network and to ensure superior customer experience across catering services, product quality, restaurant environment, and food safety; and (ii) increased piece-rate wages and total working hours driven by</w:t>
      </w:r>
    </w:p>
    <w:p>
      <w:pPr>
        <w:ind w:right="240"/>
        <w:spacing w:after="0" w:line="209" w:lineRule="auto"/>
        <w:rPr>
          <w:sz w:val="20"/>
          <w:szCs w:val="20"/>
          <w:color w:val="auto"/>
        </w:rPr>
      </w:pPr>
      <w:r>
        <w:rPr>
          <w:rFonts w:ascii="Times New Roman" w:cs="Times New Roman" w:eastAsia="Times New Roman" w:hAnsi="Times New Roman"/>
          <w:sz w:val="18"/>
          <w:szCs w:val="18"/>
          <w:color w:val="auto"/>
        </w:rPr>
        <w:t>increased guest visits and improved overall average table turnover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As a percentage of revenue, staff costs decreased to 34.0% in the first quarter of 2026 from 35.3% in the same period of 2025.</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1177925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454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20"/>
        <w:spacing w:after="0" w:line="198" w:lineRule="auto"/>
        <w:rPr>
          <w:sz w:val="20"/>
          <w:szCs w:val="20"/>
          <w:color w:val="auto"/>
        </w:rPr>
      </w:pPr>
      <w:r>
        <w:rPr>
          <w:rFonts w:ascii="Times New Roman" w:cs="Times New Roman" w:eastAsia="Times New Roman" w:hAnsi="Times New Roman"/>
          <w:sz w:val="17"/>
          <w:szCs w:val="17"/>
          <w:b w:val="1"/>
          <w:bCs w:val="1"/>
          <w:color w:val="auto"/>
        </w:rPr>
        <w:t>Income from operation</w:t>
      </w:r>
      <w:r>
        <w:rPr>
          <w:rFonts w:ascii="Times New Roman" w:cs="Times New Roman" w:eastAsia="Times New Roman" w:hAnsi="Times New Roman"/>
          <w:sz w:val="28"/>
          <w:szCs w:val="28"/>
          <w:b w:val="1"/>
          <w:bCs w:val="1"/>
          <w:color w:val="auto"/>
          <w:vertAlign w:val="superscript"/>
        </w:rPr>
        <w:t>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US$14.0 million, representing an increase of 70.7% from US$8.2 million in the same period of 2025.</w:t>
      </w:r>
      <w:r>
        <w:rPr>
          <w:rFonts w:ascii="Times New Roman" w:cs="Times New Roman" w:eastAsia="Times New Roman" w:hAnsi="Times New Roman"/>
          <w:sz w:val="17"/>
          <w:szCs w:val="17"/>
          <w:b w:val="1"/>
          <w:bCs w:val="1"/>
          <w:color w:val="auto"/>
        </w:rPr>
        <w:t xml:space="preserve"> Income from operation margin</w:t>
      </w:r>
      <w:r>
        <w:rPr>
          <w:rFonts w:ascii="Times New Roman" w:cs="Times New Roman" w:eastAsia="Times New Roman" w:hAnsi="Times New Roman"/>
          <w:sz w:val="28"/>
          <w:szCs w:val="28"/>
          <w:b w:val="1"/>
          <w:bCs w:val="1"/>
          <w:color w:val="auto"/>
          <w:vertAlign w:val="superscript"/>
        </w:rPr>
        <w:t>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6.2%, compared to 4.1% in the same period of 2025. This increase in income from operation margin</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mainly attributable to</w:t>
      </w:r>
    </w:p>
    <w:p>
      <w:pPr>
        <w:spacing w:after="0" w:line="2" w:lineRule="exact"/>
        <w:rPr>
          <w:sz w:val="20"/>
          <w:szCs w:val="20"/>
          <w:color w:val="auto"/>
        </w:rPr>
      </w:pPr>
    </w:p>
    <w:p>
      <w:pPr>
        <w:ind w:right="140" w:firstLine="8"/>
        <w:spacing w:after="0" w:line="209"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operating leverage effect driven by increased revenue and higher overall average table turnover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described above; and (ii) enhanced operational efficiency through ongoing optimization of operating costs.</w:t>
      </w:r>
    </w:p>
    <w:p>
      <w:pPr>
        <w:spacing w:after="0" w:line="19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Profit for the period </w:t>
      </w:r>
      <w:r>
        <w:rPr>
          <w:rFonts w:ascii="Times New Roman" w:cs="Times New Roman" w:eastAsia="Times New Roman" w:hAnsi="Times New Roman"/>
          <w:sz w:val="18"/>
          <w:szCs w:val="18"/>
          <w:color w:val="auto"/>
        </w:rPr>
        <w:t>was US$4.1 million, compared to US$11.9 million in the same period of 2025. This change was mainly due to an increase in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exchange loss of US$11.7 million in the first quarter of 2026 compared to the same period of 2025, which was primarily attributable to foreign exchange fluctuations, particularly the depreciation of local currencies against the U.S. dollar. The impact was partially offset by the improved operating performance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profit per share </w:t>
      </w:r>
      <w:r>
        <w:rPr>
          <w:rFonts w:ascii="Times New Roman" w:cs="Times New Roman" w:eastAsia="Times New Roman" w:hAnsi="Times New Roman"/>
          <w:sz w:val="18"/>
          <w:szCs w:val="18"/>
          <w:color w:val="auto"/>
        </w:rPr>
        <w:t>were both US$0.01, compared to US$0.02 in the same period of 2025.</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Haidilao Restaurant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performance indicators of Haidilao’s restaurants for the quarters indicated.</w:t>
      </w:r>
    </w:p>
    <w:p>
      <w:pPr>
        <w:spacing w:after="0" w:line="23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As of/For the 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restaurants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8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127</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w:t>
            </w:r>
          </w:p>
        </w:tc>
      </w:tr>
      <w:tr>
        <w:trPr>
          <w:trHeight w:val="216"/>
        </w:trPr>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guest visits (million)</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Asia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8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(1)</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w:t>
            </w:r>
          </w:p>
        </w:tc>
      </w:tr>
      <w:tr>
        <w:trPr>
          <w:trHeight w:val="216"/>
        </w:trPr>
        <w:tc>
          <w:tcPr>
            <w:tcW w:w="7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Average table turnover rate</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(times per day)</w:t>
            </w: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8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Average spending per guest</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(US$)</w:t>
            </w: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Asia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56"/>
        </w:trPr>
        <w:tc>
          <w:tcPr>
            <w:tcW w:w="8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(1)</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25.3</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w:t>
            </w:r>
          </w:p>
        </w:tc>
      </w:tr>
      <w:tr>
        <w:trPr>
          <w:trHeight w:val="216"/>
        </w:trPr>
        <w:tc>
          <w:tcPr>
            <w:tcW w:w="7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Average daily revenue per restaurant</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 xml:space="preserve"> (US$ in thousands)</w:t>
            </w: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56"/>
        </w:trPr>
        <w:tc>
          <w:tcPr>
            <w:tcW w:w="8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38"/>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18.4</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include Australia, the United Kingdom, and the United Arab Emirates.</w:t>
      </w:r>
    </w:p>
    <w:p>
      <w:pPr>
        <w:spacing w:after="0" w:line="22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total number of tables served for the periods by the product of total Haidilao restaurant operations days for the periods and average table count during the periods in the same geographic region.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gross revenue of Haidilao restaurant operations for the periods by total guests served for the periods in the same geographic region.</w:t>
      </w:r>
    </w:p>
    <w:p>
      <w:pPr>
        <w:spacing w:after="0" w:line="16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revenue of Haidilao restaurant operations for the periods by the total Haidilao restaurant operations days of the periods in the same geographic region.</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542925</wp:posOffset>
            </wp:positionV>
            <wp:extent cx="1071245" cy="454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Same-Store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details of the Company’s same-store sales for the quarters indicated.</w:t>
      </w:r>
    </w:p>
    <w:p>
      <w:pPr>
        <w:spacing w:after="0" w:line="16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As of/For the 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37"/>
        </w:trPr>
        <w:tc>
          <w:tcPr>
            <w:tcW w:w="76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Number of same-stores</w:t>
            </w:r>
            <w:r>
              <w:rPr>
                <w:rFonts w:ascii="Times New Roman" w:cs="Times New Roman" w:eastAsia="Times New Roman" w:hAnsi="Times New Roman"/>
                <w:sz w:val="27"/>
                <w:szCs w:val="27"/>
                <w:b w:val="1"/>
                <w:bCs w:val="1"/>
                <w:color w:val="auto"/>
                <w:vertAlign w:val="superscript"/>
              </w:rPr>
              <w:t>(1)</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(6)</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109</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Same-store sales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(US$ in thousands)</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94,348</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88,701</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Asia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31,190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28,242</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35,665</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37,576</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(6)</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22,303</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21,925</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183,506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176,444</w:t>
            </w:r>
          </w:p>
        </w:tc>
      </w:tr>
      <w:tr>
        <w:trPr>
          <w:trHeight w:val="216"/>
        </w:trPr>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Average same-store sales per day</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(US$ in thousands)</w:t>
            </w: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(6)</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18.8</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16"/>
        </w:trPr>
        <w:tc>
          <w:tcPr>
            <w:tcW w:w="7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Average same-store spending per guest</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 xml:space="preserve"> (US$)</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Asia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(6)</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42.1</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25.4</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24.1</w:t>
            </w:r>
          </w:p>
        </w:tc>
      </w:tr>
      <w:tr>
        <w:trPr>
          <w:trHeight w:val="216"/>
        </w:trPr>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Average same-store table turnover rate</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b w:val="1"/>
                <w:bCs w:val="1"/>
                <w:color w:val="auto"/>
              </w:rPr>
              <w:t xml:space="preserve"> (times/day)</w:t>
            </w: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(6)</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58" w:lineRule="exact"/>
        <w:rPr>
          <w:sz w:val="20"/>
          <w:szCs w:val="20"/>
          <w:color w:val="auto"/>
        </w:rPr>
      </w:pPr>
    </w:p>
    <w:p>
      <w:pPr>
        <w:ind w:left="660" w:right="20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restaurants that commenced operations prior to the beginning of the periods under comparison and opened for more than 75 days in the first quarter of 2025 and 2026, respectively.</w:t>
      </w:r>
    </w:p>
    <w:p>
      <w:pPr>
        <w:spacing w:after="0" w:line="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the aggregate gross revenue from Haidilao restaurant operations at the Company’s same-stores for the periods indicated.</w:t>
      </w:r>
    </w:p>
    <w:p>
      <w:pPr>
        <w:spacing w:after="0" w:line="144"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gross revenue from Haidilao restaurant operations for the periods by the total Haidilao restaurant operations days at the Company’s same-stores for the periods.</w:t>
      </w:r>
    </w:p>
    <w:p>
      <w:pPr>
        <w:spacing w:after="0" w:line="80" w:lineRule="exact"/>
        <w:rPr>
          <w:rFonts w:ascii="Times New Roman" w:cs="Times New Roman" w:eastAsia="Times New Roman" w:hAnsi="Times New Roman"/>
          <w:sz w:val="18"/>
          <w:szCs w:val="18"/>
          <w:color w:val="auto"/>
        </w:rPr>
      </w:pPr>
    </w:p>
    <w:p>
      <w:pPr>
        <w:ind w:left="660" w:right="40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gross revenue of Haidilao restaurant operations for the periods by total guests served for the periods at the Company’s same stores in the same geographic region.</w:t>
      </w:r>
    </w:p>
    <w:p>
      <w:pPr>
        <w:spacing w:after="0" w:line="8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total tables served for the periods by the product of total Haidilao restaurant operations days for the periods and average table count at the Company’s same-stores during the periods.</w:t>
      </w:r>
    </w:p>
    <w:p>
      <w:pPr>
        <w:spacing w:after="0" w:line="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include Australia, the United Kingdom, and the United Arab Emirates.</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454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Super Hi</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Super Hi operates Haidilao hot pot restaurants in the international market. Haidilao is a leading Chinese cuisine restaurant brand. With roots in Sichuan from 1994, Haidilao has become one of the most popular and largest Chinese cuisine brands in the world. With over 32 years of brand history, Haidilao is well-loved by guests for its unique dining experience — warm and attentive service, great ambiance and delicious food, standing out among global restaurant chains, which has made Haidilao restaurants into a worldwide cultural phenomenon. Haidilao has been ranked as one of the “world’s most valuable restaurant brands” for seven consecutive years since 2019, earning the title of </w:t>
      </w:r>
      <w:r>
        <w:rPr>
          <w:rFonts w:ascii="Times New Roman" w:cs="Times New Roman" w:eastAsia="Times New Roman" w:hAnsi="Times New Roman"/>
          <w:sz w:val="18"/>
          <w:szCs w:val="18"/>
          <w:i w:val="1"/>
          <w:iCs w:val="1"/>
          <w:color w:val="auto"/>
        </w:rPr>
        <w:t>"World’s Strongest Restaurant Brand"</w:t>
      </w:r>
      <w:r>
        <w:rPr>
          <w:rFonts w:ascii="Times New Roman" w:cs="Times New Roman" w:eastAsia="Times New Roman" w:hAnsi="Times New Roman"/>
          <w:sz w:val="18"/>
          <w:szCs w:val="18"/>
          <w:color w:val="auto"/>
        </w:rPr>
        <w:t xml:space="preserve"> for 2024 (Brand Finance). As of March 31, 2026, Super Hi had 127 self-operated Haidilao restaurants in 14 countries across four continents.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Super Hi may also make written or oral forward-looking statements in its periodic reports to the U.S. Securities and Exchange Commission (the “SEC”), in its annual report to shareholders, in announcements, circulars or other publications made on the website of The Stock Exchange of Hong Kong Limited (the “SEHK”), in press releases and other written materials and in oral statements made by its officers, directors or employees to third parties. Statements that are not historical facts, including statements about Super Hi’s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Super Hi’s operations and business prospects; future developments, trends and conditions in the industry and markets in which Super Hi operates; Super Hi’s strategies, plans, objectives and goals and Super Hi’s ability to successfully implement these strategies, plans, objectives and goals; Super Hi’s ability to maintain an effective food safety and quality control system; Super Hi’s ability to continue to maintain its leadership position in the industry and markets in which Super Hi operates; Super Hi’s dividend policy; Super Hi’s capital expenditure plans; Super Hi’s expansion plans; Super Hi’s future debt levels and capital needs; Super Hi’s expectations regarding the effectiveness of its marketing initiatives and the relationship with third-party partners; Super Hi’s ability to recruit and retain qualified personnel; relevant government policies and regulations relating to Super Hi’s industry; Super Hi’s ability to protect its systems and infrastructures from cyber-attacks; general economic and business conditions globally; and assumptions underlying or related to any of the foregoing. Further information regarding these and other risks is included in Super Hi’s filings with the SEC and the announcements and filings on the website of the SEHK. All information provided in this press release is as of the date of this press release, and Super Hi does not undertake any obligation to update any forward-looking statement,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superhi_ir@superhi-inc.com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574-7992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media.hq@superhi-inc.com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454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PROFIT OR LOSS AND OTHER COMPREHENSIVE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USD’000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USD’000</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225,927</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197,783</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2,708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consumables used</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(76,574)</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(67,167)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Staff costs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(76,686)</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(69,832)</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Rentals and related expenses</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(6,303)</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(5,561)</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Utilities expenses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(7,171)</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(6,963)</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(20,658)</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(19,898)</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Travelling and communication expenses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(1,715)</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(22,176)</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(19,525)</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and gains - net</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(5,370)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7,942</w:t>
            </w: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(2,990)</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(2,753)</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8,992</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15,135</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(4,939)</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(3,255)</w:t>
            </w:r>
          </w:p>
        </w:tc>
      </w:tr>
      <w:tr>
        <w:trPr>
          <w:trHeight w:val="210"/>
        </w:trPr>
        <w:tc>
          <w:tcPr>
            <w:tcW w:w="8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4,053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11,880</w:t>
            </w:r>
          </w:p>
        </w:tc>
      </w:tr>
      <w:tr>
        <w:trPr>
          <w:trHeight w:val="210"/>
        </w:trPr>
        <w:tc>
          <w:tcPr>
            <w:tcW w:w="8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that may be reclassified subsequently to profit or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differences arising on translation of foreign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for the period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(5,754)</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5,638</w:t>
            </w:r>
          </w:p>
        </w:tc>
        <w:tc>
          <w:tcPr>
            <w:tcW w:w="2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6,126</w:t>
            </w:r>
          </w:p>
        </w:tc>
        <w:tc>
          <w:tcPr>
            <w:tcW w:w="60" w:type="dxa"/>
            <w:vAlign w:val="bottom"/>
          </w:tcPr>
          <w:p>
            <w:pPr>
              <w:spacing w:after="0"/>
              <w:rPr>
                <w:sz w:val="19"/>
                <w:szCs w:val="19"/>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0"/>
        </w:trPr>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60" w:type="dxa"/>
            <w:vAlign w:val="bottom"/>
          </w:tcPr>
          <w:p>
            <w:pPr>
              <w:spacing w:after="0"/>
              <w:rPr>
                <w:sz w:val="24"/>
                <w:szCs w:val="24"/>
                <w:color w:val="auto"/>
              </w:rPr>
            </w:pPr>
          </w:p>
        </w:tc>
      </w:tr>
      <w:tr>
        <w:trPr>
          <w:trHeight w:val="248"/>
        </w:trPr>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5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4,053</w:t>
            </w:r>
          </w:p>
        </w:tc>
        <w:tc>
          <w:tcPr>
            <w:tcW w:w="24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11,880</w:t>
            </w:r>
          </w:p>
        </w:tc>
        <w:tc>
          <w:tcPr>
            <w:tcW w:w="60" w:type="dxa"/>
            <w:vAlign w:val="bottom"/>
          </w:tcPr>
          <w:p>
            <w:pPr>
              <w:spacing w:after="0"/>
              <w:rPr>
                <w:sz w:val="24"/>
                <w:szCs w:val="24"/>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0"/>
        </w:trPr>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60" w:type="dxa"/>
            <w:vAlign w:val="bottom"/>
          </w:tcPr>
          <w:p>
            <w:pPr>
              <w:spacing w:after="0"/>
              <w:rPr>
                <w:sz w:val="24"/>
                <w:szCs w:val="24"/>
                <w:color w:val="auto"/>
              </w:rPr>
            </w:pPr>
          </w:p>
        </w:tc>
      </w:tr>
      <w:tr>
        <w:trPr>
          <w:trHeight w:val="248"/>
        </w:trPr>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5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5,638</w:t>
            </w:r>
          </w:p>
        </w:tc>
        <w:tc>
          <w:tcPr>
            <w:tcW w:w="24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6,126</w:t>
            </w:r>
          </w:p>
        </w:tc>
        <w:tc>
          <w:tcPr>
            <w:tcW w:w="60" w:type="dxa"/>
            <w:vAlign w:val="bottom"/>
          </w:tcPr>
          <w:p>
            <w:pPr>
              <w:spacing w:after="0"/>
              <w:rPr>
                <w:sz w:val="24"/>
                <w:szCs w:val="24"/>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31" w:lineRule="exact"/>
        <w:rPr>
          <w:sz w:val="20"/>
          <w:szCs w:val="20"/>
          <w:color w:val="auto"/>
        </w:rPr>
      </w:pPr>
    </w:p>
    <w:p>
      <w:pPr>
        <w:sectPr>
          <w:pgSz w:w="11900" w:h="16838" w:orient="portrait"/>
          <w:cols w:equalWidth="0" w:num="2">
            <w:col w:w="7460" w:space="720"/>
            <w:col w:w="30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(USD)</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8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1071245" cy="454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UNAUDITED INTERIM CONDENSED CONSOLIDATED STATEMENTS OF FINANCIAL POSITION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at March 31,  As at December 31,</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USD’000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162,923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160,301</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201,826</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204,180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and other deposits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20,730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20,709</w:t>
            </w:r>
          </w:p>
        </w:tc>
        <w:tc>
          <w:tcPr>
            <w:tcW w:w="0" w:type="dxa"/>
            <w:vAlign w:val="bottom"/>
          </w:tcPr>
          <w:p>
            <w:pPr>
              <w:spacing w:after="0"/>
              <w:rPr>
                <w:sz w:val="1"/>
                <w:szCs w:val="1"/>
                <w:color w:val="auto"/>
              </w:rPr>
            </w:pPr>
          </w:p>
        </w:tc>
      </w:tr>
      <w:tr>
        <w:trPr>
          <w:trHeight w:val="209"/>
        </w:trPr>
        <w:tc>
          <w:tcPr>
            <w:tcW w:w="8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392,804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392,512</w:t>
            </w:r>
          </w:p>
        </w:tc>
        <w:tc>
          <w:tcPr>
            <w:tcW w:w="0" w:type="dxa"/>
            <w:vAlign w:val="bottom"/>
          </w:tcPr>
          <w:p>
            <w:pPr>
              <w:spacing w:after="0"/>
              <w:rPr>
                <w:sz w:val="1"/>
                <w:szCs w:val="1"/>
                <w:color w:val="auto"/>
              </w:rPr>
            </w:pPr>
          </w:p>
        </w:tc>
      </w:tr>
      <w:tr>
        <w:trPr>
          <w:trHeight w:val="236"/>
        </w:trPr>
        <w:tc>
          <w:tcPr>
            <w:tcW w:w="8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36,312</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37,519</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33,233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35,652</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34,691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and other deposits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5,417</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2,887</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balances and cash</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237,110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271,990</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349,650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353,371</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31,191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36,337</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40,293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42,980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1,686</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5,986</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7,031</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45,619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45,662</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10,658</w:t>
            </w:r>
          </w:p>
        </w:tc>
        <w:tc>
          <w:tcPr>
            <w:tcW w:w="0" w:type="dxa"/>
            <w:vAlign w:val="bottom"/>
          </w:tcPr>
          <w:p>
            <w:pPr>
              <w:spacing w:after="0"/>
              <w:rPr>
                <w:sz w:val="1"/>
                <w:szCs w:val="1"/>
                <w:color w:val="auto"/>
              </w:rPr>
            </w:pPr>
          </w:p>
        </w:tc>
      </w:tr>
      <w:tr>
        <w:trPr>
          <w:trHeight w:val="229"/>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1,956</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137,396</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146,832</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212,254</w:t>
            </w:r>
          </w:p>
        </w:tc>
        <w:tc>
          <w:tcPr>
            <w:tcW w:w="2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-4808220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1177925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45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02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UNAUDITED INTERIM CONDENSED CONSOLIDATED STATEMENTS OF FINANCIAL POSITION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at March 31,  As at December 31,</w:t>
            </w:r>
          </w:p>
        </w:tc>
        <w:tc>
          <w:tcPr>
            <w:tcW w:w="0" w:type="dxa"/>
            <w:vAlign w:val="bottom"/>
          </w:tcPr>
          <w:p>
            <w:pPr>
              <w:spacing w:after="0"/>
              <w:rPr>
                <w:sz w:val="1"/>
                <w:szCs w:val="1"/>
                <w:color w:val="auto"/>
              </w:rPr>
            </w:pPr>
          </w:p>
        </w:tc>
      </w:tr>
      <w:tr>
        <w:trPr>
          <w:trHeight w:val="209"/>
        </w:trPr>
        <w:tc>
          <w:tcPr>
            <w:tcW w:w="66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USD’000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6,184</w:t>
            </w:r>
          </w:p>
        </w:tc>
        <w:tc>
          <w:tcPr>
            <w:tcW w:w="0" w:type="dxa"/>
            <w:vAlign w:val="bottom"/>
          </w:tcPr>
          <w:p>
            <w:pPr>
              <w:spacing w:after="0"/>
              <w:rPr>
                <w:sz w:val="1"/>
                <w:szCs w:val="1"/>
                <w:color w:val="auto"/>
              </w:rPr>
            </w:pPr>
          </w:p>
        </w:tc>
      </w:tr>
      <w:tr>
        <w:trPr>
          <w:trHeight w:val="216"/>
        </w:trPr>
        <w:tc>
          <w:tcPr>
            <w:tcW w:w="8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181,392</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183,139</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2,818</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30"/>
        </w:trPr>
        <w:tc>
          <w:tcPr>
            <w:tcW w:w="8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15,506</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15,179</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rPr>
                <w:sz w:val="19"/>
                <w:szCs w:val="19"/>
                <w:color w:val="auto"/>
              </w:rPr>
            </w:pPr>
          </w:p>
        </w:tc>
        <w:tc>
          <w:tcPr>
            <w:tcW w:w="7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205,469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207,407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399,589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391,644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gridSpan w:val="3"/>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and Reserves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held under share award scheme</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550,593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550,593</w:t>
            </w: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Reserves</w:t>
            </w:r>
          </w:p>
        </w:tc>
        <w:tc>
          <w:tcPr>
            <w:tcW w:w="7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(154,775)</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(160,494)</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attributable to owners of the Company</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395,821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390,102</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3,768</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399,589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391,644</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Less than USD1,000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75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1177925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454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02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USD’000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USD’000</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24,235</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19,693</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(53,545)</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(55,605)</w:t>
            </w: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(10,148)</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(14,828)</w:t>
            </w:r>
          </w:p>
        </w:tc>
      </w:tr>
      <w:tr>
        <w:trPr>
          <w:trHeight w:val="210"/>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(39,458)</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(50,740)</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balances and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Less: bank deposits with original maturity over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144,590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254,719</w:t>
            </w:r>
          </w:p>
        </w:tc>
      </w:tr>
      <w:tr>
        <w:trPr>
          <w:trHeight w:val="248"/>
        </w:trPr>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0"/>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104,166</w:t>
            </w:r>
          </w:p>
        </w:tc>
        <w:tc>
          <w:tcPr>
            <w:tcW w:w="2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204,933</w:t>
            </w:r>
          </w:p>
        </w:tc>
      </w:tr>
      <w:tr>
        <w:trPr>
          <w:trHeight w:val="623"/>
        </w:trPr>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237,110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204,933</w:t>
            </w:r>
          </w:p>
        </w:tc>
      </w:tr>
      <w:tr>
        <w:trPr>
          <w:trHeight w:val="248"/>
        </w:trPr>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(132,944)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440" w:right="339" w:bottom="1440" w:gutter="0" w:footer="0" w:header="0"/>
          <w:type w:val="continuous"/>
        </w:sectPr>
      </w:pPr>
    </w:p>
    <w:p>
      <w:pPr>
        <w:spacing w:after="0" w:line="21" w:lineRule="exact"/>
        <w:rPr>
          <w:sz w:val="20"/>
          <w:szCs w:val="20"/>
          <w:color w:val="auto"/>
        </w:rPr>
      </w:pPr>
    </w:p>
    <w:p>
      <w:pPr>
        <w:ind w:left="8960"/>
        <w:spacing w:after="0"/>
        <w:tabs>
          <w:tab w:leader="none" w:pos="10520" w:val="left"/>
        </w:tabs>
        <w:rPr>
          <w:sz w:val="20"/>
          <w:szCs w:val="20"/>
          <w:color w:val="auto"/>
        </w:rPr>
      </w:pPr>
      <w:r>
        <w:rPr>
          <w:rFonts w:ascii="Times New Roman" w:cs="Times New Roman" w:eastAsia="Times New Roman" w:hAnsi="Times New Roman"/>
          <w:sz w:val="18"/>
          <w:szCs w:val="18"/>
          <w:b w:val="1"/>
          <w:bCs w:val="1"/>
          <w:color w:val="auto"/>
        </w:rPr>
        <w:t>104,166</w:t>
      </w:r>
      <w:r>
        <w:rPr>
          <w:sz w:val="20"/>
          <w:szCs w:val="20"/>
          <w:color w:val="auto"/>
        </w:rPr>
        <w:tab/>
      </w:r>
      <w:r>
        <w:rPr>
          <w:rFonts w:ascii="Times New Roman" w:cs="Times New Roman" w:eastAsia="Times New Roman" w:hAnsi="Times New Roman"/>
          <w:sz w:val="18"/>
          <w:szCs w:val="18"/>
          <w:b w:val="1"/>
          <w:bCs w:val="1"/>
          <w:color w:val="auto"/>
        </w:rPr>
        <w:t>204,933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36830</wp:posOffset>
            </wp:positionV>
            <wp:extent cx="1868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2026-05-20T05:09:27Z</dcterms:created>
  <dcterms:modified xsi:type="dcterms:W3CDTF">2026-05-20T05:09:27Z</dcterms:modified>
</cp:coreProperties>
</file>