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4076d1_6k.htm"/>
      <w:bookmarkStart w:id="1" w:name="kstm2624076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28" w:type="dxa"/>
          <w:right w:w="0" w:type="dxa"/>
        </w:tblCellMar>
      </w:tblPr>
      <w:tblGrid>
        <w:gridCol w:w="1055"/>
        <w:gridCol w:w="60"/>
        <w:gridCol w:w="767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6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4076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283"/>
              <w:jc w:val="left"/>
              <w:rPr/>
            </w:pPr>
            <w:hyperlink w:anchor="tm2624076d1_ex99-1.htm">
              <w:r>
                <w:rPr>
                  <w:rStyle w:val="InternetLink"/>
                  <w:rFonts w:ascii="Times New Roman;Times;Serif" w:hAnsi="Times New Roman;Times;Serif"/>
                  <w:sz w:val="20"/>
                </w:rPr>
                <w:t>Press Release — Super Hi Reports Unaudited Financial Results for the Second Quarter of 2026</w:t>
              </w:r>
            </w:hyperlink>
          </w:p>
        </w:tc>
      </w:tr>
      <w:tr>
        <w:trPr/>
        <w:tc>
          <w:tcPr>
            <w:tcW w:w="1055" w:type="dxa"/>
            <w:tcBorders/>
            <w:tcMar>
              <w:bottom w:w="0" w:type="dxa"/>
            </w:tcMar>
            <w:vAlign w:val="center"/>
          </w:tcPr>
          <w:p>
            <w:pPr>
              <w:pStyle w:val="TableContents"/>
              <w:bidi w:val="0"/>
              <w:spacing w:before="0" w:after="283"/>
              <w:jc w:val="left"/>
              <w:rPr/>
            </w:pPr>
            <w:hyperlink w:anchor="tm2624076d1_ex99-2.htm">
              <w:r>
                <w:rPr>
                  <w:rStyle w:val="InternetLink"/>
                  <w:rFonts w:ascii="Times New Roman;Times;Serif" w:hAnsi="Times New Roman;Times;Serif"/>
                  <w:sz w:val="20"/>
                </w:rPr>
                <w:t>Exhibit 99.2</w:t>
              </w:r>
            </w:hyperlink>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283"/>
              <w:jc w:val="left"/>
              <w:rPr/>
            </w:pPr>
            <w:hyperlink w:anchor="tm2624076d1_ex99-2.htm">
              <w:r>
                <w:rPr>
                  <w:rStyle w:val="InternetLink"/>
                  <w:rFonts w:ascii="Times New Roman;Times;Serif" w:hAnsi="Times New Roman;Times;Serif"/>
                  <w:sz w:val="20"/>
                </w:rPr>
                <w:t>Announcement of Interim Results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4076d1_ex99-1.htm"/>
      <w:bookmarkStart w:id="3" w:name="kstm2624076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Reports Unaudited 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26, 2026 (GLOBE NEWSWIRE) -- Super Hi International Holding Ltd. (NASDAQ: HDL and HKEX: 9658) (“Super Hi” or the “Company”), a leading Chinese cuisine restaurant brand operating Haidilao hot pot restaurants in the international market,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0" w:type="dxa"/>
            <w:tcBorders/>
            <w:vAlign w:val="center"/>
          </w:tcPr>
          <w:p>
            <w:pPr>
              <w:pStyle w:val="TableContents"/>
              <w:bidi w:val="0"/>
              <w:spacing w:before="0" w:after="283"/>
              <w:jc w:val="left"/>
              <w:rPr>
                <w:sz w:val="20"/>
              </w:rPr>
            </w:pPr>
            <w:r>
              <w:rPr>
                <w:b/>
                <w:sz w:val="20"/>
              </w:rPr>
              <w:t>Revenue</w:t>
            </w:r>
            <w:r>
              <w:rPr>
                <w:sz w:val="20"/>
              </w:rPr>
              <w:t xml:space="preserve"> was US$218.8 million, representing an increase of 10.0% from US$198.9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In the second quarter of 2026, the Company opened 2 new Haidilao restaurants. The total number of Haidilao restaurants expanded from 127 as of March 31, 2026, to 129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Overall average table turnover rate</w:t>
            </w:r>
            <w:r>
              <w:rPr>
                <w:rFonts w:ascii="Times New Roman;Times;Serif" w:hAnsi="Times New Roman;Times;Serif"/>
                <w:b/>
                <w:position w:val="7"/>
                <w:sz w:val="16"/>
                <w:sz w:val="20"/>
              </w:rPr>
              <w:t>1</w:t>
            </w:r>
            <w:r>
              <w:rPr>
                <w:sz w:val="20"/>
              </w:rPr>
              <w:t xml:space="preserve"> was 3.9 times per day, compared to 3.8 times per day in the same period of 2025. </w:t>
            </w:r>
            <w:r>
              <w:rPr>
                <w:b/>
                <w:sz w:val="20"/>
              </w:rPr>
              <w:t>Overall average same-store table turnover rate</w:t>
            </w:r>
            <w:r>
              <w:rPr>
                <w:rFonts w:ascii="Times New Roman;Times;Serif" w:hAnsi="Times New Roman;Times;Serif"/>
                <w:b/>
                <w:position w:val="7"/>
                <w:sz w:val="16"/>
                <w:sz w:val="20"/>
              </w:rPr>
              <w:t>2</w:t>
            </w:r>
            <w:r>
              <w:rPr>
                <w:sz w:val="20"/>
              </w:rPr>
              <w:t xml:space="preserve"> was 4.0 times per day, compared to 3.9 times per day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 xml:space="preserve">The Company had over 8.1 million </w:t>
            </w:r>
            <w:r>
              <w:rPr>
                <w:b/>
                <w:sz w:val="20"/>
              </w:rPr>
              <w:t>total guest visits</w:t>
            </w:r>
            <w:r>
              <w:rPr>
                <w:sz w:val="20"/>
              </w:rPr>
              <w:t>, representing an increase of 5.2% from 7.7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Income from operation</w:t>
            </w:r>
            <w:r>
              <w:rPr>
                <w:rFonts w:ascii="Times New Roman;Times;Serif" w:hAnsi="Times New Roman;Times;Serif"/>
                <w:b/>
                <w:position w:val="7"/>
                <w:sz w:val="16"/>
                <w:sz w:val="20"/>
              </w:rPr>
              <w:t>3</w:t>
            </w:r>
            <w:r>
              <w:rPr>
                <w:sz w:val="20"/>
              </w:rPr>
              <w:t xml:space="preserve"> was US$8.1 million, representing an increase of 118.9% from US$3.7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Income from operation margin</w:t>
            </w:r>
            <w:r>
              <w:rPr>
                <w:rFonts w:ascii="Times New Roman;Times;Serif" w:hAnsi="Times New Roman;Times;Serif"/>
                <w:b/>
                <w:position w:val="7"/>
                <w:sz w:val="16"/>
                <w:sz w:val="20"/>
              </w:rPr>
              <w:t>4</w:t>
            </w:r>
            <w:r>
              <w:rPr>
                <w:sz w:val="20"/>
              </w:rPr>
              <w:t xml:space="preserve"> was 3.7%, compared to 1.9% in the same period of 2025, representing an increase of 1.8 percentage points year over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 Yu, CEO &amp; Executive Director of Super Hi, commented, “Through our sustained commitment to the 'Dual Focus on Employees and Customers' strategy, the initiatives and investments we have made over the past year in employee development, customer experience, and restaurant management have further strengthened our operational foundation and are gradually translating into greater operational resilience and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of 2026, the Company's total revenue increased 10.0% year over year to US$218.8 million, while income from operations margin</w:t>
      </w:r>
      <w:r>
        <w:rPr>
          <w:rFonts w:ascii="Times New Roman;Times;Serif" w:hAnsi="Times New Roman;Times;Serif"/>
          <w:b w:val="false"/>
          <w:i w:val="false"/>
          <w:caps w:val="false"/>
          <w:smallCaps w:val="false"/>
          <w:position w:val="7"/>
          <w:sz w:val="16"/>
          <w:sz w:val="20"/>
        </w:rPr>
        <w:t xml:space="preserve">4 </w:t>
      </w:r>
      <w:r>
        <w:rPr>
          <w:rFonts w:ascii="Times New Roman;Times;Serif" w:hAnsi="Times New Roman;Times;Serif"/>
          <w:b w:val="false"/>
          <w:i w:val="false"/>
          <w:caps w:val="false"/>
          <w:smallCaps w:val="false"/>
          <w:sz w:val="20"/>
        </w:rPr>
        <w:t>expanded by 1.8 percentage points to 3.7%, reflecting further improvement in our operating efficiency. During the quarter, both the overall average table turnover rate¹ and the overall average same-store table turnover rate² of Haidilao restaurants increased by 0.1 times per day year over year, and revenue from Haidilao restaurants grew by 4.6% year over year. Meanwhile, we continued to diversify our revenue streams, with delivery and other business revenue increasing by 114.3% year over year, further enhancing our business mix and providing new momentum for the Company’s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Calculated by dividing the total tables served for the period by the product of total Haidilao restaurant operating days for the period and average table count during the period.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Calculated by dividing the total tables served for the period by the product of total Haidilao restaurant operating days for the period and average table count at the Company’s same-stores during the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Calculated by excluding interest income, finance costs, unrealized foreign exchange differences arising from remeasurement of balances which are not denominated in functional currency, net gain arising on financial assets at fair value through profit or loss and income tax expense from (loss) profit for the period.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Calculated by dividing income from operation</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by 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w:t>
      </w:r>
      <w:r>
        <w:rPr>
          <w:rFonts w:ascii="Times New Roman;Times;Serif" w:hAnsi="Times New Roman;Times;Serif"/>
          <w:b w:val="false"/>
          <w:i w:val="false"/>
          <w:caps w:val="false"/>
          <w:smallCaps w:val="false"/>
          <w:sz w:val="20"/>
        </w:rPr>
        <w:t xml:space="preserve"> was US$218.8 million, representing an increase of 10.0% from US$198.9 million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Revenue from Haidilao restaurant operations was US$197.8 million, representing an increase of 4.6% from US$189.1 million in the same period of 2025. The increase was primarily attributable to (i) significantly improved operational performance at Haidilao restaurants driven by our ongoing operational optimization initiatives, with higher overall average table turnover rate</w:t>
            </w:r>
            <w:r>
              <w:rPr>
                <w:position w:val="7"/>
                <w:sz w:val="16"/>
                <w:sz w:val="20"/>
              </w:rPr>
              <w:t>1</w:t>
            </w:r>
            <w:r>
              <w:rPr>
                <w:sz w:val="20"/>
              </w:rPr>
              <w:t xml:space="preserve"> and increased customer traffic, further strengthening brand influence; and (ii) continued expansion of the restaurant network, resulting in a year-over-year increase in the total number of restaurants.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Revenue from delivery business was US$7.6 million, representing an increase of 105.4% from US$3.7 million in the same period of 2025. The increase was primarily attributable to (i) the continuous optimization of delivery offerings based on market demand, including product innovation and promotional initiatives; and (ii) the expansion of delivery channels and strengthened collaborations with local food delivery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Revenue from other business was US$13.4 million, representing an increase of 119.7% from US$6.1 million in the same period of 2025. The increase was mainly driven by (i) the increasing popularity of hot pot condiment products and Haidilao-branded and sub-branded food products among local customers and retailers; and (ii) the incubation of secondary branded restaurants under the “Pomegranate Plan” through diversification into multiple business concepts.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Raw materials and consumables used </w:t>
      </w:r>
      <w:r>
        <w:rPr>
          <w:rFonts w:ascii="Times New Roman;Times;Serif" w:hAnsi="Times New Roman;Times;Serif"/>
          <w:b w:val="false"/>
          <w:i w:val="false"/>
          <w:caps w:val="false"/>
          <w:smallCaps w:val="false"/>
          <w:sz w:val="20"/>
        </w:rPr>
        <w:t>were US$74.7 million, representing an increase of 10.5% from US$67.6 million in the same period of 2025. The increase was primarily driven by (i) business expansion, in line with the Company’s revenue growth; and (ii) increased sales of hot pot condiment products, Haidilao-branded and sub-branded food products, and the expansion of the secondary branded restaurants. As a percentage of revenue, raw materials and consumables used increased to 34.1% in the second quarter of 2026 from 34.0%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Staff costs </w:t>
      </w:r>
      <w:r>
        <w:rPr>
          <w:rFonts w:ascii="Times New Roman;Times;Serif" w:hAnsi="Times New Roman;Times;Serif"/>
          <w:b w:val="false"/>
          <w:i w:val="false"/>
          <w:caps w:val="false"/>
          <w:smallCaps w:val="false"/>
          <w:sz w:val="20"/>
        </w:rPr>
        <w:t>were US$75.0 million, representing an increase of 6.7% from US$70.3 million in the same period of 2025. The increase was primarily attributable to (i) an increased number of employees to support the continued expansion of our restaurant network and enhance customer experience; (ii) ongoing investment in central support functions to strengthen management capabilities and operational efficiency, and (iii) higher statutory minimum wages in certain countries where we operated. As a percentage of revenue, staff costs decreased to 34.3% in the second quarter of 2026 from 35.3%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w:t>
      </w:r>
      <w:r>
        <w:rPr>
          <w:rFonts w:ascii="Times New Roman;Times;Serif" w:hAnsi="Times New Roman;Times;Serif"/>
          <w:b/>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was US$8.1 million, representing an increase of 118.9% from US$3.7 million in the same period of 2025. </w:t>
      </w:r>
      <w:r>
        <w:rPr>
          <w:rFonts w:ascii="Times New Roman;Times;Serif" w:hAnsi="Times New Roman;Times;Serif"/>
          <w:b/>
          <w:i w:val="false"/>
          <w:caps w:val="false"/>
          <w:smallCaps w:val="false"/>
          <w:sz w:val="20"/>
        </w:rPr>
        <w:t>Income from operation margin</w:t>
      </w:r>
      <w:r>
        <w:rPr>
          <w:rFonts w:ascii="Times New Roman;Times;Serif" w:hAnsi="Times New Roman;Times;Serif"/>
          <w:b/>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3.7%, compared to 1.9% in the same period of 2025. This increase in income from operation margin</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mainly attributable to (i) improved operational efficiency resulting from ongoing operating cost optimization initiatives; and (ii) positive operating leverage driven by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Loss for the period</w:t>
      </w:r>
      <w:r>
        <w:rPr>
          <w:rFonts w:ascii="Times New Roman;Times;Serif" w:hAnsi="Times New Roman;Times;Serif"/>
          <w:b w:val="false"/>
          <w:i w:val="false"/>
          <w:caps w:val="false"/>
          <w:smallCaps w:val="false"/>
          <w:sz w:val="20"/>
        </w:rPr>
        <w:t xml:space="preserve"> was US$1.9 million, compared to a profit of US$16.4 million in the same period of 2025. This change was mainly due to an increase in net foreign exchange loss of US$20.6 million in the second quarter of 2026 compared to the same period of 2025, which was primarily attributable to foreign exchange fluctuations, particularly the depreciation of local currencies against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net loss per share </w:t>
      </w:r>
      <w:r>
        <w:rPr>
          <w:rFonts w:ascii="Times New Roman;Times;Serif" w:hAnsi="Times New Roman;Times;Serif"/>
          <w:b w:val="false"/>
          <w:i w:val="false"/>
          <w:caps w:val="false"/>
          <w:smallCaps w:val="false"/>
          <w:sz w:val="20"/>
        </w:rPr>
        <w:t>were both approximating nil, compared to a basic and diluted net profit per share of US$0.03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Haidilao Restaurant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key performance indicators of Haidilao’s restaurants for the quarters indicated.</w:t>
      </w:r>
    </w:p>
    <w:p>
      <w:pPr>
        <w:pStyle w:val="TextBody"/>
        <w:bidi w:val="0"/>
        <w:spacing w:before="0" w:after="0"/>
        <w:ind w:left="0" w:right="0" w:hanging="0"/>
        <w:jc w:val="left"/>
        <w:rPr>
          <w:caps w:val="false"/>
          <w:smallCaps w:val="false"/>
        </w:rPr>
      </w:pPr>
      <w:r>
        <w:rPr>
          <w:caps w:val="false"/>
          <w:smallCaps w:val="false"/>
        </w:rPr>
        <w:t> </w:t>
      </w:r>
    </w:p>
    <w:tbl>
      <w:tblPr>
        <w:tblW w:w="8841" w:type="dxa"/>
        <w:jc w:val="left"/>
        <w:tblInd w:w="0" w:type="dxa"/>
        <w:tblLayout w:type="fixed"/>
        <w:tblCellMar>
          <w:top w:w="0" w:type="dxa"/>
          <w:left w:w="0" w:type="dxa"/>
          <w:bottom w:w="0" w:type="dxa"/>
          <w:right w:w="0" w:type="dxa"/>
        </w:tblCellMar>
      </w:tblPr>
      <w:tblGrid>
        <w:gridCol w:w="5030"/>
        <w:gridCol w:w="60"/>
        <w:gridCol w:w="220"/>
        <w:gridCol w:w="1398"/>
        <w:gridCol w:w="220"/>
        <w:gridCol w:w="220"/>
        <w:gridCol w:w="220"/>
        <w:gridCol w:w="1398"/>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7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of/For the Three Months Ended June 30,</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20" w:type="dxa"/>
            <w:tcBorders/>
            <w:vAlign w:val="center"/>
          </w:tcPr>
          <w:p>
            <w:pPr>
              <w:pStyle w:val="TableContents"/>
              <w:bidi w:val="0"/>
              <w:spacing w:before="0" w:after="283"/>
              <w:jc w:val="center"/>
              <w:rPr/>
            </w:pPr>
            <w:r>
              <w:rPr/>
              <w:t> </w:t>
            </w:r>
          </w:p>
        </w:tc>
        <w:tc>
          <w:tcPr>
            <w:tcW w:w="220" w:type="dxa"/>
            <w:tcBorders/>
            <w:vAlign w:val="center"/>
          </w:tcPr>
          <w:p>
            <w:pPr>
              <w:pStyle w:val="TableContents"/>
              <w:bidi w:val="0"/>
              <w:spacing w:before="0" w:after="283"/>
              <w:jc w:val="center"/>
              <w:rPr/>
            </w:pPr>
            <w:r>
              <w:rPr/>
              <w:t> </w:t>
            </w:r>
          </w:p>
        </w:tc>
        <w:tc>
          <w:tcPr>
            <w:tcW w:w="161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restaurants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guest visits (million)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table turnover rate</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(times per day)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b/>
                <w:sz w:val="20"/>
              </w:rPr>
            </w:pPr>
            <w:r>
              <w:rPr>
                <w:b/>
                <w:sz w:val="20"/>
              </w:rPr>
              <w:t>Average spending per guest</w:t>
            </w:r>
            <w:r>
              <w:rPr>
                <w:b/>
                <w:position w:val="7"/>
                <w:sz w:val="16"/>
                <w:sz w:val="20"/>
              </w:rPr>
              <w:t>(3) </w:t>
            </w:r>
            <w:r>
              <w:rPr>
                <w:b/>
                <w:sz w:val="20"/>
              </w:rPr>
              <w:t>(US$)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b/>
                <w:sz w:val="20"/>
              </w:rPr>
            </w:pPr>
            <w:r>
              <w:rPr>
                <w:b/>
                <w:sz w:val="20"/>
              </w:rPr>
              <w:t>Average daily revenue per restaurant</w:t>
            </w:r>
            <w:r>
              <w:rPr>
                <w:b/>
                <w:position w:val="7"/>
                <w:sz w:val="16"/>
                <w:sz w:val="20"/>
              </w:rPr>
              <w:t>(4)</w:t>
            </w:r>
            <w:r>
              <w:rPr>
                <w:b/>
                <w:sz w:val="20"/>
              </w:rPr>
              <w:t> (US$ in thousands)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096250" cy="876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876300"/>
                    </a:xfrm>
                    <a:prstGeom prst="rect">
                      <a:avLst/>
                    </a:prstGeom>
                  </pic:spPr>
                </pic:pic>
              </a:graphicData>
            </a:graphic>
          </wp:inline>
        </w:drawing>
      </w: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6275" w:type="dxa"/>
            <w:tcBorders/>
            <w:vAlign w:val="center"/>
          </w:tcPr>
          <w:p>
            <w:pPr>
              <w:pStyle w:val="TableContents"/>
              <w:bidi w:val="0"/>
              <w:spacing w:before="0" w:after="283"/>
              <w:jc w:val="both"/>
              <w:rPr>
                <w:sz w:val="20"/>
              </w:rPr>
            </w:pPr>
            <w:r>
              <w:rPr>
                <w:sz w:val="20"/>
              </w:rPr>
              <w:t>Others include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(2)</w:t>
            </w:r>
          </w:p>
        </w:tc>
        <w:tc>
          <w:tcPr>
            <w:tcW w:w="9950" w:type="dxa"/>
            <w:tcBorders/>
            <w:vAlign w:val="center"/>
          </w:tcPr>
          <w:p>
            <w:pPr>
              <w:pStyle w:val="TableContents"/>
              <w:bidi w:val="0"/>
              <w:spacing w:before="0" w:after="283"/>
              <w:jc w:val="both"/>
              <w:rPr>
                <w:sz w:val="20"/>
              </w:rPr>
            </w:pPr>
            <w:r>
              <w:rPr>
                <w:sz w:val="20"/>
              </w:rPr>
              <w:t>Calculated by dividing total number of tables served for the periods by the product of total Haidilao restaurant operating days for the periods and average table count during the 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20"/>
              </w:rPr>
            </w:pPr>
            <w:r>
              <w:rPr>
                <w:sz w:val="20"/>
              </w:rPr>
              <w:t>(3)</w:t>
            </w:r>
          </w:p>
        </w:tc>
        <w:tc>
          <w:tcPr>
            <w:tcW w:w="9936" w:type="dxa"/>
            <w:tcBorders/>
            <w:vAlign w:val="center"/>
          </w:tcPr>
          <w:p>
            <w:pPr>
              <w:pStyle w:val="TableContents"/>
              <w:bidi w:val="0"/>
              <w:spacing w:before="0" w:after="283"/>
              <w:jc w:val="both"/>
              <w:rPr>
                <w:sz w:val="20"/>
              </w:rPr>
            </w:pPr>
            <w:r>
              <w:rPr>
                <w:sz w:val="20"/>
              </w:rPr>
              <w:t>Calculated by dividing gross revenue of Haidilao restaurant operations for the periods by total guests served for the 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(4)</w:t>
            </w:r>
          </w:p>
        </w:tc>
        <w:tc>
          <w:tcPr>
            <w:tcW w:w="9942" w:type="dxa"/>
            <w:tcBorders/>
            <w:vAlign w:val="center"/>
          </w:tcPr>
          <w:p>
            <w:pPr>
              <w:pStyle w:val="TableContents"/>
              <w:bidi w:val="0"/>
              <w:spacing w:before="0" w:after="283"/>
              <w:jc w:val="both"/>
              <w:rPr>
                <w:sz w:val="20"/>
              </w:rPr>
            </w:pPr>
            <w:r>
              <w:rPr>
                <w:sz w:val="20"/>
              </w:rPr>
              <w:t>Calculated by dividing the revenue of Haidilao restaurant operations for the periods by the total Haidilao restaurant operating days of the 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Same-Store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details of the Company’s same-store sales for the quarters indicated.</w:t>
      </w:r>
    </w:p>
    <w:p>
      <w:pPr>
        <w:pStyle w:val="TextBody"/>
        <w:bidi w:val="0"/>
        <w:spacing w:before="0" w:after="0"/>
        <w:ind w:left="0" w:right="0" w:hanging="0"/>
        <w:jc w:val="left"/>
        <w:rPr>
          <w:caps w:val="false"/>
          <w:smallCaps w:val="false"/>
        </w:rPr>
      </w:pPr>
      <w:r>
        <w:rPr>
          <w:caps w:val="false"/>
          <w:smallCaps w:val="false"/>
        </w:rPr>
        <w:t> </w:t>
      </w:r>
    </w:p>
    <w:tbl>
      <w:tblPr>
        <w:tblW w:w="8483" w:type="dxa"/>
        <w:jc w:val="left"/>
        <w:tblInd w:w="0" w:type="dxa"/>
        <w:tblLayout w:type="fixed"/>
        <w:tblCellMar>
          <w:top w:w="0" w:type="dxa"/>
          <w:left w:w="0" w:type="dxa"/>
          <w:bottom w:w="0" w:type="dxa"/>
          <w:right w:w="0" w:type="dxa"/>
        </w:tblCellMar>
      </w:tblPr>
      <w:tblGrid>
        <w:gridCol w:w="4670"/>
        <w:gridCol w:w="60"/>
        <w:gridCol w:w="135"/>
        <w:gridCol w:w="1569"/>
        <w:gridCol w:w="135"/>
        <w:gridCol w:w="135"/>
        <w:gridCol w:w="135"/>
        <w:gridCol w:w="1569"/>
        <w:gridCol w:w="75"/>
      </w:tblGrid>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of/For the Three Months Ended June 30,</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6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same-stores</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3" w:type="dxa"/>
            <w:gridSpan w:val="5"/>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3" w:type="dxa"/>
            <w:gridSpan w:val="5"/>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3" w:type="dxa"/>
            <w:gridSpan w:val="5"/>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3" w:type="dxa"/>
            <w:gridSpan w:val="5"/>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3" w:type="dxa"/>
            <w:gridSpan w:val="5"/>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w:t>
            </w:r>
            <w:r>
              <w:rPr>
                <w:rFonts w:ascii="Times New Roman;Times;Serif" w:hAnsi="Times New Roman;Times;Serif"/>
                <w:b/>
                <w:i w:val="false"/>
                <w:caps w:val="false"/>
                <w:smallCaps w:val="false"/>
                <w:position w:val="7"/>
                <w:sz w:val="16"/>
                <w:sz w:val="20"/>
              </w:rPr>
              <w:t>(2) </w:t>
            </w:r>
            <w:r>
              <w:rPr>
                <w:rFonts w:ascii="Times New Roman;Times;Serif" w:hAnsi="Times New Roman;Times;Serif"/>
                <w:b/>
                <w:i w:val="false"/>
                <w:caps w:val="false"/>
                <w:smallCaps w:val="false"/>
                <w:sz w:val="20"/>
              </w:rPr>
              <w:t>(US$ in thousands)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91,555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28,889</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34,710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24,241</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179,395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180,861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same-store sales per day</w:t>
            </w:r>
            <w:r>
              <w:rPr>
                <w:rFonts w:ascii="Times New Roman;Times;Serif" w:hAnsi="Times New Roman;Times;Serif"/>
                <w:b/>
                <w:i w:val="false"/>
                <w:caps w:val="false"/>
                <w:smallCaps w:val="false"/>
                <w:position w:val="7"/>
                <w:sz w:val="16"/>
                <w:sz w:val="20"/>
              </w:rPr>
              <w:t>(3) </w:t>
            </w:r>
            <w:r>
              <w:rPr>
                <w:rFonts w:ascii="Times New Roman;Times;Serif" w:hAnsi="Times New Roman;Times;Serif"/>
                <w:b/>
                <w:i w:val="false"/>
                <w:caps w:val="false"/>
                <w:smallCaps w:val="false"/>
                <w:sz w:val="20"/>
              </w:rPr>
              <w:t>(US$ in thousands)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same-store spending per guest</w:t>
            </w:r>
            <w:r>
              <w:rPr>
                <w:rFonts w:ascii="Times New Roman;Times;Serif" w:hAnsi="Times New Roman;Times;Serif"/>
                <w:b/>
                <w:i w:val="false"/>
                <w:caps w:val="false"/>
                <w:smallCaps w:val="false"/>
                <w:position w:val="7"/>
                <w:sz w:val="16"/>
                <w:sz w:val="20"/>
              </w:rPr>
              <w:t>(4) </w:t>
            </w:r>
            <w:r>
              <w:rPr>
                <w:rFonts w:ascii="Times New Roman;Times;Serif" w:hAnsi="Times New Roman;Times;Serif"/>
                <w:b/>
                <w:i w:val="false"/>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same-store table turnover rate</w:t>
            </w:r>
            <w:r>
              <w:rPr>
                <w:rFonts w:ascii="Times New Roman;Times;Serif" w:hAnsi="Times New Roman;Times;Serif"/>
                <w:b/>
                <w:i w:val="false"/>
                <w:caps w:val="false"/>
                <w:smallCaps w:val="false"/>
                <w:position w:val="7"/>
                <w:sz w:val="16"/>
                <w:sz w:val="20"/>
              </w:rPr>
              <w:t>(5) </w:t>
            </w:r>
            <w:r>
              <w:rPr>
                <w:rFonts w:ascii="Times New Roman;Times;Serif" w:hAnsi="Times New Roman;Times;Serif"/>
                <w:b/>
                <w:i w:val="false"/>
                <w:caps w:val="false"/>
                <w:smallCaps w:val="false"/>
                <w:sz w:val="20"/>
              </w:rPr>
              <w:t>(times/day)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8096250" cy="876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876300"/>
                    </a:xfrm>
                    <a:prstGeom prst="rect">
                      <a:avLst/>
                    </a:prstGeom>
                  </pic:spPr>
                </pic:pic>
              </a:graphicData>
            </a:graphic>
          </wp:inline>
        </w:drawing>
      </w: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(1)</w:t>
            </w:r>
          </w:p>
        </w:tc>
        <w:tc>
          <w:tcPr>
            <w:tcW w:w="9946" w:type="dxa"/>
            <w:tcBorders/>
            <w:vAlign w:val="center"/>
          </w:tcPr>
          <w:p>
            <w:pPr>
              <w:pStyle w:val="TableContents"/>
              <w:bidi w:val="0"/>
              <w:spacing w:before="0" w:after="283"/>
              <w:jc w:val="both"/>
              <w:rPr>
                <w:sz w:val="20"/>
              </w:rPr>
            </w:pPr>
            <w:r>
              <w:rPr>
                <w:sz w:val="20"/>
              </w:rPr>
              <w:t>Includes restaurants that commenced operations prior to the beginning of the periods under comparison and operated for more than 75 days in the second quarter of 2025 and 2026,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0"/>
              </w:rPr>
            </w:pPr>
            <w:r>
              <w:rPr>
                <w:sz w:val="20"/>
              </w:rPr>
              <w:t>(2)</w:t>
            </w:r>
          </w:p>
        </w:tc>
        <w:tc>
          <w:tcPr>
            <w:tcW w:w="9926" w:type="dxa"/>
            <w:tcBorders/>
            <w:vAlign w:val="center"/>
          </w:tcPr>
          <w:p>
            <w:pPr>
              <w:pStyle w:val="TableContents"/>
              <w:bidi w:val="0"/>
              <w:spacing w:before="0" w:after="283"/>
              <w:jc w:val="both"/>
              <w:rPr>
                <w:sz w:val="20"/>
              </w:rPr>
            </w:pPr>
            <w:r>
              <w:rPr>
                <w:sz w:val="20"/>
              </w:rPr>
              <w:t>Refers to the aggregate gross revenue from Haidilao restaurant operations at the Company’s same-stores for the periods indicated.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(3)</w:t>
            </w:r>
          </w:p>
        </w:tc>
        <w:tc>
          <w:tcPr>
            <w:tcW w:w="9944" w:type="dxa"/>
            <w:tcBorders/>
            <w:vAlign w:val="center"/>
          </w:tcPr>
          <w:p>
            <w:pPr>
              <w:pStyle w:val="TableContents"/>
              <w:bidi w:val="0"/>
              <w:spacing w:before="0" w:after="283"/>
              <w:jc w:val="both"/>
              <w:rPr>
                <w:sz w:val="20"/>
              </w:rPr>
            </w:pPr>
            <w:r>
              <w:rPr>
                <w:sz w:val="20"/>
              </w:rPr>
              <w:t>Calculated by dividing the gross revenue from Haidilao restaurant operations for the periods by the total Haidilao restaurant operating days at the Company’s same-stores for the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(4)</w:t>
            </w:r>
          </w:p>
        </w:tc>
        <w:tc>
          <w:tcPr>
            <w:tcW w:w="9944" w:type="dxa"/>
            <w:tcBorders/>
            <w:vAlign w:val="center"/>
          </w:tcPr>
          <w:p>
            <w:pPr>
              <w:pStyle w:val="TableContents"/>
              <w:bidi w:val="0"/>
              <w:spacing w:before="0" w:after="283"/>
              <w:jc w:val="both"/>
              <w:rPr>
                <w:sz w:val="20"/>
              </w:rPr>
            </w:pPr>
            <w:r>
              <w:rPr>
                <w:sz w:val="20"/>
              </w:rPr>
              <w:t>Calculated by dividing gross revenue of Haidilao restaurant operations for the periods by total guests served for the periods at the Company’s same-stores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(5)</w:t>
            </w:r>
          </w:p>
        </w:tc>
        <w:tc>
          <w:tcPr>
            <w:tcW w:w="9949" w:type="dxa"/>
            <w:tcBorders/>
            <w:vAlign w:val="center"/>
          </w:tcPr>
          <w:p>
            <w:pPr>
              <w:pStyle w:val="TableContents"/>
              <w:bidi w:val="0"/>
              <w:spacing w:before="0" w:after="283"/>
              <w:jc w:val="both"/>
              <w:rPr>
                <w:sz w:val="20"/>
              </w:rPr>
            </w:pPr>
            <w:r>
              <w:rPr>
                <w:sz w:val="20"/>
              </w:rPr>
              <w:t>Calculated by dividing the total tables served for the periods by the product of total Haidilao restaurant operating days for the periods and average table count at the Company’s same-stores during the periods.</w:t>
            </w:r>
          </w:p>
        </w:tc>
      </w:tr>
    </w:tbl>
    <w:p>
      <w:pPr>
        <w:pStyle w:val="TextBody"/>
        <w:bidi w:val="0"/>
        <w:spacing w:before="0" w:after="0"/>
        <w:ind w:left="0" w:right="0" w:hanging="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(6)</w:t>
            </w:r>
          </w:p>
        </w:tc>
        <w:tc>
          <w:tcPr>
            <w:tcW w:w="6275" w:type="dxa"/>
            <w:tcBorders/>
            <w:vAlign w:val="center"/>
          </w:tcPr>
          <w:p>
            <w:pPr>
              <w:pStyle w:val="TableContents"/>
              <w:bidi w:val="0"/>
              <w:spacing w:before="0" w:after="283"/>
              <w:jc w:val="both"/>
              <w:rPr>
                <w:sz w:val="20"/>
              </w:rPr>
            </w:pPr>
            <w:r>
              <w:rPr>
                <w:sz w:val="20"/>
              </w:rPr>
              <w:t>Others include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 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 Hi is a catering company that operates hot pot restaurants under the Haidilao brand in the international markets. Haidilao is a leading Chinese cuisine restaurant brand. With roots in Sichuan from 1994, Haidilao has become one of the most popular and largest Chinese cuisine brands in the world. With over 32 years of brand history, Haidilao is well-loved by guests for its unique dining experience — warm and attentive service, great ambiance and delicious food, standing out among global restaurant chains, which has made Haidilao restaurants into a worldwide cultural phenomenon. Haidilao has been ranked as one of the “world’s most valuable restaurant brands” for seven consecutive years since 2019, earning the title of “</w:t>
      </w:r>
      <w:r>
        <w:rPr>
          <w:rFonts w:ascii="Times New Roman;Times;Serif" w:hAnsi="Times New Roman;Times;Serif"/>
          <w:b w:val="false"/>
          <w:i/>
          <w:caps w:val="false"/>
          <w:smallCaps w:val="false"/>
          <w:sz w:val="20"/>
        </w:rPr>
        <w:t>World’s Strongest Restaurant Brand”</w:t>
      </w:r>
      <w:r>
        <w:rPr>
          <w:rFonts w:ascii="Times New Roman;Times;Serif" w:hAnsi="Times New Roman;Times;Serif"/>
          <w:b w:val="false"/>
          <w:i w:val="false"/>
          <w:caps w:val="false"/>
          <w:smallCaps w:val="false"/>
          <w:sz w:val="20"/>
        </w:rPr>
        <w:t xml:space="preserve"> for 2024 (Brand Finance). As of June 30, 2026, Super Hi had 129 self-operated Haidilao restaurants in 14 countries across four continents.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Super Hi may also make written or oral forward-looking statements in its periodic reports to the U.S. Securities and Exchange Commission (the “SEC”), in its annual report to shareholders, in announcements, circulars or other publications made on the website of The Stock Exchange of Hong Kong Limited (the “SEHK”), in press releases and other written materials and in oral statements made by its officers, directors or employees to third parties. Statements that are not historical facts, including statements about Super Hi’s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Super Hi’s operations and business prospects; future developments, trends and conditions in the industry and markets in which Super Hi operates; Super Hi’s strategies, plans, objectives and goals and Super Hi’s ability to successfully implement these strategies, plans, objectives and goals; Super Hi’s ability to maintain an effective food safety and quality control system; Super Hi’s ability to continue to maintain its leadership position in the industry and markets in which Super Hi operates; Super Hi’s dividend policy; Super Hi’s capital expenditure plans; Super Hi’s expansion plans; Super Hi’s future debt levels and capital needs; Super Hi’s expectations regarding the effectiveness of its marketing initiatives and the relationship with third-party partners; Super Hi’s ability to recruit and retain qualified personnel; relevant government policies and regulations relating to Super Hi’s industry; Super Hi’s ability to protect its systems and infrastructures from cyber-attacks; general economic and business conditions globally; and assumptions underlying or related to any of the foregoing. Further information regarding these and other risks is included in Super Hi’s filings with the SEC and the announcements and filings on the website of the SEHK. All information provided in this press release is as of the date of this press release, and Super Hi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 xml:space="preserve">Email: </w:t>
      </w:r>
      <w:r>
        <w:rPr>
          <w:rFonts w:ascii="Times New Roman;Times;Serif" w:hAnsi="Times New Roman;Times;Serif"/>
          <w:b w:val="false"/>
          <w:i w:val="false"/>
          <w:caps w:val="false"/>
          <w:smallCaps w:val="false"/>
          <w:sz w:val="20"/>
          <w:u w:val="single"/>
        </w:rPr>
        <w:t>superhi_ir@superhi-inc.com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574-7992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w:t>
        <w:br/>
        <w:t xml:space="preserve">Email: </w:t>
      </w:r>
      <w:r>
        <w:rPr>
          <w:rFonts w:ascii="Times New Roman;Times;Serif" w:hAnsi="Times New Roman;Times;Serif"/>
          <w:b w:val="false"/>
          <w:i w:val="false"/>
          <w:caps w:val="false"/>
          <w:smallCaps w:val="false"/>
          <w:sz w:val="20"/>
          <w:u w:val="single"/>
        </w:rPr>
        <w:t>media.hq@superhi-inc.com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PROFIT OR LOSS AND OTHER COMPREHENSIVE INCOME</w:t>
      </w:r>
    </w:p>
    <w:p>
      <w:pPr>
        <w:pStyle w:val="TextBody"/>
        <w:bidi w:val="0"/>
        <w:spacing w:before="0" w:after="0"/>
        <w:ind w:left="0" w:right="0" w:hanging="0"/>
        <w:jc w:val="left"/>
        <w:rPr>
          <w:caps w:val="false"/>
          <w:smallCaps w:val="false"/>
        </w:rPr>
      </w:pPr>
      <w:r>
        <w:rPr>
          <w:caps w:val="false"/>
          <w:smallCaps w:val="false"/>
        </w:rPr>
        <w:t> </w:t>
      </w:r>
    </w:p>
    <w:tbl>
      <w:tblPr>
        <w:tblW w:w="8501" w:type="dxa"/>
        <w:jc w:val="left"/>
        <w:tblInd w:w="0" w:type="dxa"/>
        <w:tblLayout w:type="fixed"/>
        <w:tblCellMar>
          <w:top w:w="0" w:type="dxa"/>
          <w:left w:w="0" w:type="dxa"/>
          <w:bottom w:w="0" w:type="dxa"/>
          <w:right w:w="0" w:type="dxa"/>
        </w:tblCellMar>
      </w:tblPr>
      <w:tblGrid>
        <w:gridCol w:w="5285"/>
        <w:gridCol w:w="60"/>
        <w:gridCol w:w="104"/>
        <w:gridCol w:w="1213"/>
        <w:gridCol w:w="323"/>
        <w:gridCol w:w="104"/>
        <w:gridCol w:w="104"/>
        <w:gridCol w:w="1213"/>
        <w:gridCol w:w="9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June 30,</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323"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218,827</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consumables used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(74,735</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(74,951</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Rentals and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(5,646</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(7,285</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(21,033</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Travelling and communication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(23,767</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 gains -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(5,583</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2,788</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(1,930</w:t>
            </w:r>
          </w:p>
        </w:tc>
        <w:tc>
          <w:tcPr>
            <w:tcW w:w="3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(expense)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i/>
                <w:sz w:val="20"/>
              </w:rPr>
            </w:pPr>
            <w:r>
              <w:rPr>
                <w:b/>
                <w:i/>
                <w:sz w:val="20"/>
              </w:rPr>
              <w:t>Item that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sz w:val="20"/>
              </w:rPr>
            </w:pPr>
            <w:r>
              <w:rPr>
                <w:sz w:val="20"/>
              </w:rPr>
              <w:t>Exchange differences arising on translation of foreign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b/>
                <w:sz w:val="20"/>
              </w:rPr>
            </w:pPr>
            <w:r>
              <w:rPr>
                <w:b/>
                <w:sz w:val="20"/>
              </w:rPr>
              <w:t>Total comprehensive income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for the period attributable to:</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(1,930</w:t>
            </w:r>
          </w:p>
        </w:tc>
        <w:tc>
          <w:tcPr>
            <w:tcW w:w="3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sz w:val="20"/>
              </w:rPr>
            </w:pPr>
            <w:r>
              <w:rPr>
                <w:b/>
                <w:sz w:val="20"/>
              </w:rPr>
              <w:t>Total comprehensive income attributable to:</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Earnings per share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(USD)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USD 0.01                  </w:t>
      </w:r>
    </w:p>
    <w:p>
      <w:pPr>
        <w:pStyle w:val="TextBody"/>
        <w:bidi w:val="0"/>
        <w:spacing w:before="0" w:after="283"/>
        <w:jc w:val="left"/>
        <w:rPr/>
      </w:pPr>
      <w:r>
        <w:rPr/>
        <w:t> </w:t>
      </w:r>
    </w:p>
    <w:p>
      <w:pPr>
        <w:pStyle w:val="TextBody"/>
        <w:bidi w:val="0"/>
        <w:spacing w:before="0" w:after="0"/>
        <w:jc w:val="right"/>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8096250" cy="876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876300"/>
                    </a:xfrm>
                    <a:prstGeom prst="rect">
                      <a:avLst/>
                    </a:prstGeom>
                  </pic:spPr>
                </pic:pic>
              </a:graphicData>
            </a:graphic>
          </wp:inline>
        </w:drawing>
      </w: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3695"/>
        <w:gridCol w:w="60"/>
        <w:gridCol w:w="1190"/>
        <w:gridCol w:w="60"/>
        <w:gridCol w:w="60"/>
        <w:gridCol w:w="164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204,180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and other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410,185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392,512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and other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Pledged bank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balances and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353,371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146,832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204,576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206,539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755"/>
        <w:gridCol w:w="60"/>
        <w:gridCol w:w="1190"/>
        <w:gridCol w:w="80"/>
        <w:gridCol w:w="60"/>
        <w:gridCol w:w="1640"/>
        <w:gridCol w:w="9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215,053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207,407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391,644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and Reserves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held under share award scheme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550,593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550,593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attributable to owners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395,980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391,644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USD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876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0" cy="876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127" w:type="dxa"/>
        <w:jc w:val="left"/>
        <w:tblInd w:w="0" w:type="dxa"/>
        <w:tblLayout w:type="fixed"/>
        <w:tblCellMar>
          <w:top w:w="0" w:type="dxa"/>
          <w:left w:w="0" w:type="dxa"/>
          <w:bottom w:w="0" w:type="dxa"/>
          <w:right w:w="0" w:type="dxa"/>
        </w:tblCellMar>
      </w:tblPr>
      <w:tblGrid>
        <w:gridCol w:w="4910"/>
        <w:gridCol w:w="60"/>
        <w:gridCol w:w="107"/>
        <w:gridCol w:w="1353"/>
        <w:gridCol w:w="143"/>
        <w:gridCol w:w="107"/>
        <w:gridCol w:w="107"/>
        <w:gridCol w:w="1245"/>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2"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28,244</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30,418</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(14,052</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44,610</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104,166</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foreign exchange rate changes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147,659</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258,471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balances and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266,403</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time deposits with original maturity over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(118,744</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147,659</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258,471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4076d1_ex99-2.htm"/>
      <w:bookmarkStart w:id="5" w:name="kstm2624076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76450" cy="647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76450" cy="6477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特海国际控股有限公司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9658; NASDAQ Symbol: HDL)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 OF INTERIM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of SUPER HI INTERNATIONAL HOLDING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the unaudited consolidated results of the Company and its subsidiaries (together,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for the six months ended June 30, 2026 (the “</w:t>
      </w:r>
      <w:r>
        <w:rPr>
          <w:rFonts w:ascii="Times New Roman;Times;Serif" w:hAnsi="Times New Roman;Times;Serif"/>
          <w:b/>
          <w:i w:val="false"/>
          <w:caps w:val="false"/>
          <w:smallCaps w:val="false"/>
          <w:sz w:val="20"/>
        </w:rPr>
        <w:t>Reporting Period</w:t>
      </w:r>
      <w:r>
        <w:rPr>
          <w:rFonts w:ascii="Times New Roman;Times;Serif" w:hAnsi="Times New Roman;Times;Serif"/>
          <w:b w:val="false"/>
          <w:i w:val="false"/>
          <w:caps w:val="false"/>
          <w:smallCaps w:val="false"/>
          <w:sz w:val="20"/>
        </w:rPr>
        <w:t>”), together with comparative figures for the same period of 2025. The interim results have been reviewed by the audit committee of the Company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and percentage figures included in this announcement have been subject to rounding adjustments, or have been rounded to one or two decimal places. Any discrepancies in any table, chart or elsewhere between totals and sums of amounts listed therein are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HIGHLIGHTS</w:t>
      </w:r>
    </w:p>
    <w:p>
      <w:pPr>
        <w:pStyle w:val="TextBody"/>
        <w:bidi w:val="0"/>
        <w:spacing w:before="0" w:after="0"/>
        <w:ind w:left="0" w:right="0" w:hanging="0"/>
        <w:jc w:val="left"/>
        <w:rPr/>
      </w:pPr>
      <w:r>
        <w:rPr>
          <w:caps w:val="false"/>
          <w:smallCaps w:val="false"/>
        </w:rPr>
        <w:t> </w:t>
      </w:r>
      <w:r>
        <w:rPr/>
        <w:t xml:space="preserve"> </w:t>
      </w:r>
    </w:p>
    <w:tbl>
      <w:tblPr>
        <w:tblW w:w="7791" w:type="dxa"/>
        <w:jc w:val="left"/>
        <w:tblInd w:w="0" w:type="dxa"/>
        <w:tblLayout w:type="fixed"/>
        <w:tblCellMar>
          <w:top w:w="0" w:type="dxa"/>
          <w:left w:w="0" w:type="dxa"/>
          <w:bottom w:w="0" w:type="dxa"/>
          <w:right w:w="0" w:type="dxa"/>
        </w:tblCellMar>
      </w:tblPr>
      <w:tblGrid>
        <w:gridCol w:w="4790"/>
        <w:gridCol w:w="60"/>
        <w:gridCol w:w="101"/>
        <w:gridCol w:w="1176"/>
        <w:gridCol w:w="211"/>
        <w:gridCol w:w="101"/>
        <w:gridCol w:w="101"/>
        <w:gridCol w:w="1176"/>
        <w:gridCol w:w="75"/>
      </w:tblGrid>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1" w:type="dxa"/>
            <w:tcBorders/>
            <w:vAlign w:val="center"/>
          </w:tcPr>
          <w:p>
            <w:pPr>
              <w:pStyle w:val="TableContents"/>
              <w:bidi w:val="0"/>
              <w:spacing w:before="0" w:after="283"/>
              <w:jc w:val="center"/>
              <w:rPr>
                <w:caps w:val="false"/>
                <w:smallCaps w:val="false"/>
              </w:rPr>
            </w:pPr>
            <w:r>
              <w:rPr>
                <w:caps w:val="false"/>
                <w:smallCaps w:val="false"/>
              </w:rPr>
              <w:t> </w:t>
            </w:r>
          </w:p>
        </w:tc>
        <w:tc>
          <w:tcPr>
            <w:tcW w:w="101" w:type="dxa"/>
            <w:tcBorders/>
            <w:vAlign w:val="center"/>
          </w:tcPr>
          <w:p>
            <w:pPr>
              <w:pStyle w:val="TableContents"/>
              <w:bidi w:val="0"/>
              <w:spacing w:before="0" w:after="283"/>
              <w:jc w:val="center"/>
              <w:rPr>
                <w:caps w:val="false"/>
                <w:smallCaps w:val="false"/>
              </w:rPr>
            </w:pPr>
            <w:r>
              <w:rPr>
                <w:caps w:val="false"/>
                <w:smallCaps w:val="false"/>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7"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(US$’000)</w:t>
            </w:r>
          </w:p>
        </w:tc>
        <w:tc>
          <w:tcPr>
            <w:tcW w:w="211" w:type="dxa"/>
            <w:tcBorders/>
            <w:vAlign w:val="center"/>
          </w:tcPr>
          <w:p>
            <w:pPr>
              <w:pStyle w:val="TableContents"/>
              <w:bidi w:val="0"/>
              <w:spacing w:before="0" w:after="283"/>
              <w:jc w:val="center"/>
              <w:rPr>
                <w:caps w:val="false"/>
                <w:smallCaps w:val="false"/>
              </w:rPr>
            </w:pPr>
            <w:r>
              <w:rPr>
                <w:caps w:val="false"/>
                <w:smallCaps w:val="false"/>
              </w:rPr>
              <w:t> </w:t>
            </w:r>
          </w:p>
        </w:tc>
        <w:tc>
          <w:tcPr>
            <w:tcW w:w="101" w:type="dxa"/>
            <w:tcBorders/>
            <w:vAlign w:val="center"/>
          </w:tcPr>
          <w:p>
            <w:pPr>
              <w:pStyle w:val="TableContents"/>
              <w:bidi w:val="0"/>
              <w:spacing w:before="0" w:after="283"/>
              <w:jc w:val="center"/>
              <w:rPr>
                <w:caps w:val="false"/>
                <w:smallCaps w:val="false"/>
              </w:rPr>
            </w:pPr>
            <w:r>
              <w:rPr>
                <w:caps w:val="false"/>
                <w:smallCaps w:val="false"/>
              </w:rPr>
              <w:t> </w:t>
            </w:r>
          </w:p>
        </w:tc>
        <w:tc>
          <w:tcPr>
            <w:tcW w:w="1277"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444,754</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Haidilao restaurant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402,004</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377,468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11,780</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2,123</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for the period attributable to owners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2,191</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per share (Basic and diluted) </w:t>
            </w:r>
            <w:r>
              <w:rPr>
                <w:rFonts w:ascii="Times New Roman;Times;Serif" w:hAnsi="Times New Roman;Times;Serif"/>
                <w:b w:val="false"/>
                <w:i/>
                <w:caps w:val="false"/>
                <w:smallCaps w:val="false"/>
                <w:sz w:val="20"/>
              </w:rPr>
              <w:t>(US$)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2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from operation margin </w:t>
            </w: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Less than US$0.01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 OF HAIDILAO RESTAURANTS</w:t>
      </w:r>
    </w:p>
    <w:p>
      <w:pPr>
        <w:pStyle w:val="TextBody"/>
        <w:bidi w:val="0"/>
        <w:spacing w:before="0" w:after="0"/>
        <w:ind w:left="0" w:right="0" w:hanging="0"/>
        <w:jc w:val="left"/>
        <w:rPr>
          <w:caps w:val="false"/>
          <w:smallCaps w:val="false"/>
        </w:rPr>
      </w:pPr>
      <w:r>
        <w:rPr>
          <w:caps w:val="false"/>
          <w:smallCaps w:val="false"/>
        </w:rPr>
        <w:t>  </w:t>
      </w:r>
    </w:p>
    <w:tbl>
      <w:tblPr>
        <w:tblW w:w="6081" w:type="dxa"/>
        <w:jc w:val="left"/>
        <w:tblInd w:w="0" w:type="dxa"/>
        <w:tblLayout w:type="fixed"/>
        <w:tblCellMar>
          <w:top w:w="0" w:type="dxa"/>
          <w:left w:w="0" w:type="dxa"/>
          <w:bottom w:w="0" w:type="dxa"/>
          <w:right w:w="0" w:type="dxa"/>
        </w:tblCellMar>
      </w:tblPr>
      <w:tblGrid>
        <w:gridCol w:w="3890"/>
        <w:gridCol w:w="60"/>
        <w:gridCol w:w="123"/>
        <w:gridCol w:w="782"/>
        <w:gridCol w:w="123"/>
        <w:gridCol w:w="123"/>
        <w:gridCol w:w="123"/>
        <w:gridCol w:w="782"/>
        <w:gridCol w:w="7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of/For the six months</w:t>
              <w:br/>
              <w:t>ended 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restaurants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guest visits </w:t>
            </w:r>
            <w:r>
              <w:rPr>
                <w:rFonts w:ascii="Times New Roman;Times;Serif" w:hAnsi="Times New Roman;Times;Serif"/>
                <w:b w:val="false"/>
                <w:i/>
                <w:caps w:val="false"/>
                <w:smallCaps w:val="false"/>
                <w:sz w:val="20"/>
              </w:rPr>
              <w:t>(million)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Overall average table turnover rate </w:t>
            </w:r>
            <w:r>
              <w:rPr>
                <w:rFonts w:ascii="Times New Roman;Times;Serif" w:hAnsi="Times New Roman;Times;Serif"/>
                <w:b w:val="false"/>
                <w:i/>
                <w:caps w:val="false"/>
                <w:smallCaps w:val="false"/>
                <w:sz w:val="20"/>
              </w:rPr>
              <w:t>(times/day)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Average spending per guest </w:t>
            </w:r>
            <w:r>
              <w:rPr>
                <w:rFonts w:ascii="Times New Roman;Times;Serif" w:hAnsi="Times New Roman;Times;Serif"/>
                <w:b w:val="false"/>
                <w:i/>
                <w:caps w:val="false"/>
                <w:smallCaps w:val="false"/>
                <w:sz w:val="20"/>
              </w:rPr>
              <w:t>(US$)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Average daily revenue per restaurant </w:t>
            </w:r>
            <w:r>
              <w:rPr>
                <w:rFonts w:ascii="Times New Roman;Times;Serif" w:hAnsi="Times New Roman;Times;Serif"/>
                <w:b w:val="false"/>
                <w:i/>
                <w:caps w:val="false"/>
                <w:smallCaps w:val="false"/>
                <w:sz w:val="20"/>
              </w:rPr>
              <w:t>(US$’000)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Restaurant level operating margin </w:t>
            </w: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INTERIM PERFORMANCE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In the first half of 2026, global demand for dining services remained resilient, while consumers became increasingly focused on product value, the overall dining experience and the suitability of restaurants for different dining occasions. We upheld our “Dual Focus on Employees and Customers (</w:t>
      </w:r>
      <w:r>
        <w:rPr>
          <w:rFonts w:eastAsia="Times New Roman;Times;Serif"/>
          <w:b w:val="false"/>
          <w:i w:val="false"/>
          <w:caps w:val="false"/>
          <w:smallCaps w:val="false"/>
          <w:sz w:val="20"/>
        </w:rPr>
        <w:t>一手抓員工、一手抓顧客</w:t>
      </w:r>
      <w:r>
        <w:rPr>
          <w:rFonts w:ascii="Times New Roman;Times;Serif" w:hAnsi="Times New Roman;Times;Serif"/>
          <w:b w:val="false"/>
          <w:i w:val="false"/>
          <w:caps w:val="false"/>
          <w:smallCaps w:val="false"/>
          <w:sz w:val="20"/>
        </w:rPr>
        <w:t>)” management philosophy, strengthening restaurant fundamentals and enhancing the customer experience. Driven by this strategy, the overall average table turnover rate remained stable, while several operating indicators, such as same store sales, guest visits, and restaurant level operating margin, improved compared with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 Group recorded revenue of US$444.8 million, representing a year-on-year increase of 12.1%. Income from operations was US$22.1 million, representing an increase of 87.3% from US$11.8 million for the corresponding period last year. Income from operation margin was 5.0%, representing an increase of 2 percentage points from 3.0% for the corresponding period last year. This improvement was mainly attributable to enhanced operational efficiency and an optimized cost structure, which strengthened the Group’s profitability at the operating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average table turnover rate of Haidilao restaurants was 3.9 times per day in the first half of 2026, in line with the same period last year. The overall average same store table turnover rate was 4.0 times per day, an increase of 0.1 times per day year-on-year, while same store sales rose 1.7% year-on-year. Our restaurants recorded 16.2 million total guest visits during the first half of 2026, an increase of 4.5% year-on-year. Restaurant level operating margin was 10.7%, up 4.3 percentage points from 6.4% in the same period of 2025, reflecting the results of our earlier investment in organizational capabilities and operational improvements. We also expanded our global restaurant network steadily through our “bottom-up” approach, opening three new Haidilao restaurants during the Reporting Period. As of June 30, 2026, we operated 129 Haidilao restaurants in international markets, comprising 73 in Southeast Asia, 22 in East Asia, 22 in North America and 12 in other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the ongoing development of the Haidilao restaurant operations, we broadened our revenue streams by expanding our delivery business, advancing our secondary restaurant brands under the “Pomegranate Plan”, and growing sales of hot pot condiment and food products. In the first half of 2026, revenue from the delivery business was US$14.8 million, an increase of 92.2% from the same period last year, while revenue from other businesses reached US$28.0 million, an increase of 143.5% from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During the Reporting Period, we remained committed to our core management philosophy of “Dual Focus on Employees and Customers (</w:t>
      </w:r>
      <w:r>
        <w:rPr>
          <w:rFonts w:eastAsia="Times New Roman;Times;Serif"/>
          <w:b w:val="false"/>
          <w:i w:val="false"/>
          <w:caps w:val="false"/>
          <w:smallCaps w:val="false"/>
          <w:sz w:val="20"/>
        </w:rPr>
        <w:t>一手抓員工、一手抓顧客</w:t>
      </w:r>
      <w:r>
        <w:rPr>
          <w:rFonts w:ascii="Times New Roman;Times;Serif" w:hAnsi="Times New Roman;Times;Serif"/>
          <w:b w:val="false"/>
          <w:i w:val="false"/>
          <w:caps w:val="false"/>
          <w:smallCaps w:val="false"/>
          <w:sz w:val="20"/>
        </w:rPr>
        <w:t>)”, concentrating our efforts on three fundamentals: employees, customers and products. To build employee capabilities, we stepped up staff training, operational reviews and store manager coaching. We also empowered frontline staff with greater on-site discretion while upholding high operating standards, enabling service delivery that is natural and personable. As store management capabilities continue to mature, stronger employee capabilities and improved organizational structures are translating into richer customer experiences and greater operating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customer engagement, we refined our marketing approach around three complementary initiatives, ongoing brand marketing, targeted customer acquisition and membership engagement, further reinforcing the Haidilao brand. During the first half of 2026, we partnered with local artists and well-known animation and gaming IPs, building momentum around new product launches, local festivals and major events. Together with member community engagement, local area marketing and flexible store operating strategies, these initiatives helped drive customer traffic to our restaurants. As of the end of June 2026, we had 9.46 million Haidilao members. In day-to-day operations, regional teams enhanced local member engagement through multi-channel online interactive marketing, ongoing member events and an enhanced instore member experience, strengthening customer loyalty while further reinforcing the operational resilience of our restaurants and expanding our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With regard to products and menus, in the first half of 2026, the Company continued to focus on occasion-based segmentation, local innovation and menu optimization to create a “Different Haidilao (</w:t>
      </w:r>
      <w:r>
        <w:rPr>
          <w:rFonts w:eastAsia="Times New Roman;Times;Serif"/>
          <w:b w:val="false"/>
          <w:i w:val="false"/>
          <w:caps w:val="false"/>
          <w:smallCaps w:val="false"/>
          <w:sz w:val="20"/>
        </w:rPr>
        <w:t>不一樣的海底撈</w:t>
      </w:r>
      <w:r>
        <w:rPr>
          <w:rFonts w:ascii="Times New Roman;Times;Serif" w:hAnsi="Times New Roman;Times;Serif"/>
          <w:b w:val="false"/>
          <w:i w:val="false"/>
          <w:caps w:val="false"/>
          <w:smallCaps w:val="false"/>
          <w:sz w:val="20"/>
        </w:rPr>
        <w:t>)”. Our approach to product innovation is tailored to local consumer preferences and dining occasions, elevating well-loved dishes through innovations in flavor, presentation and pairings, creating a more compelling customer experience. We also developed product offerings for family gatherings, younger customers and late-night dining, broadening customer choice and improving the dining experience with offerings such as kids’ meal sets, spicy braised snacks paired with signature drinks, vegetable and mushroom platters, and beef and mutton combos. Across our core categories of beef, shrimp paste and fresh-cut meats, we enhanced our product portfolio with high-quality ingredients and differentiated combinations to meet the quality expectations of customers across different spending levels. We also continued to refine our menu based on new product sales performance, customer feedback and regional market characteristics, further optimizing our menu mix. Together, these efforts strengthened our product competitiveness and reinforced our commitment to delivering greater value and a more distinctive dining experience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we continued to invest in our headquarters capabilities, driving ongoing digital transformation and technology innovation. We deepened our market insight by improving data integration and business analytics, and enhanced store resource allocation and on-site execution by refining operational reviews, staffing analysis and shift management. We also extended digital tools and standardized support across procurement, supply chain, inventory and day-to-day expense management to improve organizational efficiency. We remain focused on consolidating our restaurant management and international operating expertise to support the diverse business concepts and brands under the “Pomegranate Plan”, enabling our headquarters capabilities to translate more effectively into stronger restaurant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will maintain our localized development strategy, with “customer satisfaction” and “employee dedication” as our core mission, as we work to build SUPER HI INTERNATIONAL into a multi-brand chain catering group: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Continuing to improve the operating quality of existing restaurants: </w:t>
            </w:r>
            <w:r>
              <w:rPr/>
              <w:t>We will build on our work in customer service, product innovation and on-site management to create a more distinctive Haidilao experience, offering customers a wider range of products and value-added services and enhancing the operating quality of our restaurants.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Optimizing and expanding our restaurant network: </w:t>
            </w:r>
            <w:r>
              <w:rPr/>
              <w:t>We will retain our “bottom-up” approach, seeking quality sites based on local market demand and operating conditions and entering new markets selectively to ensure steady and sustainable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Enhancing organizational efficiency and headquarters support: </w:t>
            </w:r>
            <w:r>
              <w:rPr/>
              <w:t>We will refine our digital tools, business analysis systems and talent development mechanisms, deepen the application of artificial intelligence and other technologies in restaurant operations and functional management, and improve resource allocation to help each region operate more independently.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Advancing the “Pomegranate Plan” steadily: </w:t>
            </w:r>
            <w:r>
              <w:rPr/>
              <w:t>We will extend our coverage of dining occasions and business concepts through internal incubation and partnerships, focusing on validating the single-store model, operating capabilities and scalability, and expanding gradually once a model is proven in order to broaden our customer reach.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generated revenue from (i) Haidilao restaurant operations; (ii) delivery business; and (iii) others, primarily consisting of revenue from the sales of hot pot condiment products and food under secondary brands to local guests and retailers.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amounted to US$444.8 million for the six months ended June 30, 2026, representing an increase of 12.1% from US$396.7 million for the corresponding period in 2025, primarily driven by an increase of US$24.5 million in revenue from Haidilao restaurant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Haidilao Restaurant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from Haidilao restaurant operations amounted to US$402.0 million for the six months ended June 30, 2026, representing an increase of 6.5% from US$377.5 million for the corresponding period in 2025. This increase was mainly due to (i) the enhanced Haidilao restaurant performance, driven by higher average same store table turnover rates and increased customer traffic through our continuous efforts; and (ii) the continued strategic expansion of our business network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Restaurant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expanded our restaurant network to 129 restaurants in 14 countries in Asia, North America, Europe and Oceania. The following table summarizes the number of Haidilao restaurants and the breakdown of revenue from Haidilao restaurant operations by geographic region as of the dates indicated or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70"/>
        <w:gridCol w:w="60"/>
        <w:gridCol w:w="115"/>
        <w:gridCol w:w="559"/>
        <w:gridCol w:w="115"/>
        <w:gridCol w:w="115"/>
        <w:gridCol w:w="115"/>
        <w:gridCol w:w="646"/>
        <w:gridCol w:w="185"/>
        <w:gridCol w:w="60"/>
        <w:gridCol w:w="60"/>
        <w:gridCol w:w="605"/>
        <w:gridCol w:w="60"/>
        <w:gridCol w:w="60"/>
        <w:gridCol w:w="60"/>
        <w:gridCol w:w="335"/>
        <w:gridCol w:w="185"/>
        <w:gridCol w:w="60"/>
        <w:gridCol w:w="137"/>
        <w:gridCol w:w="977"/>
        <w:gridCol w:w="60"/>
        <w:gridCol w:w="60"/>
        <w:gridCol w:w="108"/>
        <w:gridCol w:w="524"/>
        <w:gridCol w:w="108"/>
        <w:gridCol w:w="108"/>
        <w:gridCol w:w="108"/>
        <w:gridCol w:w="606"/>
        <w:gridCol w:w="155"/>
        <w:gridCol w:w="60"/>
        <w:gridCol w:w="60"/>
        <w:gridCol w:w="605"/>
        <w:gridCol w:w="60"/>
        <w:gridCol w:w="60"/>
        <w:gridCol w:w="60"/>
        <w:gridCol w:w="335"/>
        <w:gridCol w:w="155"/>
        <w:gridCol w:w="60"/>
        <w:gridCol w:w="105"/>
        <w:gridCol w:w="754"/>
        <w:gridCol w:w="75"/>
      </w:tblGrid>
      <w:tr>
        <w:trPr/>
        <w:tc>
          <w:tcPr>
            <w:tcW w:w="1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of/For the six months ended 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4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31"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 restaurants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 xml:space="preserve">revenue per </w:t>
              <w:br/>
            </w:r>
            <w:r>
              <w:rPr>
                <w:rFonts w:ascii="Times New Roman;Times;Serif" w:hAnsi="Times New Roman;Times;Serif"/>
                <w:b/>
                <w:i w:val="false"/>
                <w:caps w:val="false"/>
                <w:smallCaps w:val="false"/>
                <w:sz w:val="20"/>
              </w:rPr>
              <w:t>restaurant</w:t>
            </w:r>
            <w:r>
              <w:rPr>
                <w:rFonts w:ascii="Times New Roman;Times;Serif" w:hAnsi="Times New Roman;Times;Serif"/>
                <w:b/>
                <w:i w:val="false"/>
                <w:caps w:val="false"/>
                <w:smallCaps w:val="false"/>
                <w:position w:val="7"/>
                <w:sz w:val="16"/>
                <w:sz w:val="20"/>
              </w:rPr>
              <w:t>(2)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Number of restaurants</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w:t>
              <w:br/>
              <w:t>revenue per</w:t>
              <w:br/>
              <w:t>restaurant</w:t>
            </w:r>
            <w:r>
              <w:rPr>
                <w:rFonts w:ascii="Times New Roman;Times;Serif" w:hAnsi="Times New Roman;Times;Serif"/>
                <w:b w:val="false"/>
                <w:i w:val="false"/>
                <w:caps w:val="false"/>
                <w:smallCaps w:val="false"/>
                <w:position w:val="5"/>
                <w:sz w:val="13"/>
                <w:sz w:val="16"/>
              </w:rPr>
              <w:t>(2)</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0" w:type="dxa"/>
            <w:gridSpan w:val="38"/>
            <w:tcBorders/>
            <w:vAlign w:val="center"/>
          </w:tcPr>
          <w:p>
            <w:pPr>
              <w:pStyle w:val="TableContents"/>
              <w:bidi w:val="0"/>
              <w:spacing w:before="0" w:after="283"/>
              <w:jc w:val="center"/>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(US$’000, except number of restaurants and percentages)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73</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56.6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200,166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49.8</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190,921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17.1</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70,086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3,186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61,110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17.1</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81,954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77,171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Others</w:t>
            </w:r>
            <w:r>
              <w:rPr>
                <w:rFonts w:ascii="Times New Roman;Times;Serif" w:hAnsi="Times New Roman;Times;Serif"/>
                <w:b w:val="false"/>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49,798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12.4</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129</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402,004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3,116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377,468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755" w:type="dxa"/>
            <w:tcBorders/>
            <w:vAlign w:val="center"/>
          </w:tcPr>
          <w:p>
            <w:pPr>
              <w:pStyle w:val="TableContents"/>
              <w:bidi w:val="0"/>
              <w:spacing w:before="0" w:after="283"/>
              <w:jc w:val="left"/>
              <w:rPr/>
            </w:pPr>
            <w:r>
              <w:rPr/>
              <w:t>Includes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Calculated by dividing revenue generated from Haidilao restaurant operations in the region by the number of Haidilao restaurants as of periods end. As such, average revenue per restaurant has not taken into consideration the different operating days for each restaurant.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Restaurant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table sets forth certain key performance indicators of Haidilao restaurants by geographic region for the periods indicated: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6021" w:type="dxa"/>
        <w:jc w:val="left"/>
        <w:tblInd w:w="0" w:type="dxa"/>
        <w:tblLayout w:type="fixed"/>
        <w:tblCellMar>
          <w:top w:w="0" w:type="dxa"/>
          <w:left w:w="0" w:type="dxa"/>
          <w:bottom w:w="0" w:type="dxa"/>
          <w:right w:w="0" w:type="dxa"/>
        </w:tblCellMar>
      </w:tblPr>
      <w:tblGrid>
        <w:gridCol w:w="4310"/>
        <w:gridCol w:w="60"/>
        <w:gridCol w:w="94"/>
        <w:gridCol w:w="600"/>
        <w:gridCol w:w="94"/>
        <w:gridCol w:w="94"/>
        <w:gridCol w:w="94"/>
        <w:gridCol w:w="600"/>
        <w:gridCol w:w="75"/>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ended June 30,</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Total guest visits </w:t>
            </w:r>
            <w:r>
              <w:rPr>
                <w:rFonts w:ascii="Times New Roman;Times;Serif" w:hAnsi="Times New Roman;Times;Serif"/>
                <w:b/>
                <w:i/>
                <w:caps w:val="false"/>
                <w:smallCaps w:val="false"/>
                <w:color w:val="231F20"/>
                <w:sz w:val="20"/>
              </w:rPr>
              <w:t>(million)</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10.5</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16.2</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Average table turnover rate</w:t>
            </w:r>
            <w:r>
              <w:rPr>
                <w:rFonts w:ascii="Times New Roman;Times;Serif" w:hAnsi="Times New Roman;Times;Serif"/>
                <w:b/>
                <w:i w:val="false"/>
                <w:caps w:val="false"/>
                <w:smallCaps w:val="false"/>
                <w:color w:val="231F20"/>
                <w:position w:val="7"/>
                <w:sz w:val="16"/>
                <w:sz w:val="20"/>
              </w:rPr>
              <w:t>(2)</w:t>
            </w:r>
            <w:r>
              <w:rPr>
                <w:rFonts w:ascii="Times New Roman;Times;Serif" w:hAnsi="Times New Roman;Times;Serif"/>
                <w:b/>
                <w:i w:val="false"/>
                <w:caps w:val="false"/>
                <w:smallCaps w:val="false"/>
                <w:color w:val="231F20"/>
                <w:sz w:val="20"/>
              </w:rPr>
              <w:t xml:space="preserve"> </w:t>
            </w:r>
            <w:r>
              <w:rPr>
                <w:rFonts w:ascii="Times New Roman;Times;Serif" w:hAnsi="Times New Roman;Times;Serif"/>
                <w:b/>
                <w:i/>
                <w:caps w:val="false"/>
                <w:smallCaps w:val="false"/>
                <w:color w:val="231F20"/>
                <w:sz w:val="20"/>
              </w:rPr>
              <w:t>(times/day)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3.8</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5.0</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Overall</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3.9</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Average spending per guest</w:t>
            </w:r>
            <w:r>
              <w:rPr>
                <w:rFonts w:ascii="Times New Roman;Times;Serif" w:hAnsi="Times New Roman;Times;Serif"/>
                <w:b/>
                <w:i w:val="false"/>
                <w:caps w:val="false"/>
                <w:smallCaps w:val="false"/>
                <w:color w:val="231F20"/>
                <w:position w:val="7"/>
                <w:sz w:val="16"/>
                <w:sz w:val="20"/>
              </w:rPr>
              <w:t>(3)</w:t>
            </w:r>
            <w:r>
              <w:rPr>
                <w:rFonts w:ascii="Times New Roman;Times;Serif" w:hAnsi="Times New Roman;Times;Serif"/>
                <w:b/>
                <w:i w:val="false"/>
                <w:caps w:val="false"/>
                <w:smallCaps w:val="false"/>
                <w:color w:val="231F20"/>
                <w:sz w:val="20"/>
              </w:rPr>
              <w:t xml:space="preserve"> </w:t>
            </w:r>
            <w:r>
              <w:rPr>
                <w:rFonts w:ascii="Times New Roman;Times;Serif" w:hAnsi="Times New Roman;Times;Serif"/>
                <w:b/>
                <w:i/>
                <w:caps w:val="false"/>
                <w:smallCaps w:val="false"/>
                <w:color w:val="231F20"/>
                <w:sz w:val="20"/>
              </w:rPr>
              <w:t>(US$)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19.1</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27.8</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41.2</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41.1</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Overall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24.8</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Average daily revenue per restaurant</w:t>
            </w:r>
            <w:r>
              <w:rPr>
                <w:rFonts w:ascii="Times New Roman;Times;Serif" w:hAnsi="Times New Roman;Times;Serif"/>
                <w:b/>
                <w:i w:val="false"/>
                <w:caps w:val="false"/>
                <w:smallCaps w:val="false"/>
                <w:color w:val="231F20"/>
                <w:position w:val="7"/>
                <w:sz w:val="16"/>
                <w:sz w:val="20"/>
              </w:rPr>
              <w:t>(4)</w:t>
            </w:r>
            <w:r>
              <w:rPr>
                <w:rFonts w:ascii="Times New Roman;Times;Serif" w:hAnsi="Times New Roman;Times;Serif"/>
                <w:b/>
                <w:i w:val="false"/>
                <w:caps w:val="false"/>
                <w:smallCaps w:val="false"/>
                <w:color w:val="231F20"/>
                <w:sz w:val="20"/>
              </w:rPr>
              <w:t xml:space="preserve"> </w:t>
            </w:r>
            <w:r>
              <w:rPr>
                <w:rFonts w:ascii="Times New Roman;Times;Serif" w:hAnsi="Times New Roman;Times;Serif"/>
                <w:b/>
                <w:i/>
                <w:caps w:val="false"/>
                <w:smallCaps w:val="false"/>
                <w:color w:val="231F20"/>
                <w:sz w:val="20"/>
              </w:rPr>
              <w:t>(US$’000)</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15.6</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19.8</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20.6</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22.9</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Overall</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17.9</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Restaurant level operating margin</w:t>
            </w:r>
            <w:r>
              <w:rPr>
                <w:rFonts w:ascii="Times New Roman;Times;Serif" w:hAnsi="Times New Roman;Times;Serif"/>
                <w:b/>
                <w:i w:val="false"/>
                <w:caps w:val="false"/>
                <w:smallCaps w:val="false"/>
                <w:color w:val="231F20"/>
                <w:position w:val="7"/>
                <w:sz w:val="16"/>
                <w:sz w:val="20"/>
              </w:rPr>
              <w:t>(5)</w:t>
            </w:r>
            <w:r>
              <w:rPr>
                <w:rFonts w:ascii="Times New Roman;Times;Serif" w:hAnsi="Times New Roman;Times;Serif"/>
                <w:b/>
                <w:i w:val="false"/>
                <w:caps w:val="false"/>
                <w:smallCaps w:val="false"/>
                <w:color w:val="231F20"/>
                <w:sz w:val="20"/>
              </w:rPr>
              <w:t xml:space="preserve"> </w:t>
            </w:r>
            <w:r>
              <w:rPr>
                <w:rFonts w:ascii="Times New Roman;Times;Serif" w:hAnsi="Times New Roman;Times;Serif"/>
                <w:b/>
                <w:i/>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10.7</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Notes:</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755" w:type="dxa"/>
            <w:tcBorders/>
            <w:vAlign w:val="center"/>
          </w:tcPr>
          <w:p>
            <w:pPr>
              <w:pStyle w:val="TableContents"/>
              <w:bidi w:val="0"/>
              <w:spacing w:before="0" w:after="283"/>
              <w:jc w:val="left"/>
              <w:rPr/>
            </w:pPr>
            <w:r>
              <w:rPr/>
              <w:t>Includes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both"/>
              <w:rPr/>
            </w:pPr>
            <w:r>
              <w:rPr/>
              <w:t>Calculated by dividing the total number of tables served for the periods by the product of total Haidilao restaurant operating days for the periods and the average table count during the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(3)</w:t>
            </w:r>
          </w:p>
        </w:tc>
        <w:tc>
          <w:tcPr>
            <w:tcW w:w="9890" w:type="dxa"/>
            <w:tcBorders/>
            <w:vAlign w:val="center"/>
          </w:tcPr>
          <w:p>
            <w:pPr>
              <w:pStyle w:val="TableContents"/>
              <w:bidi w:val="0"/>
              <w:spacing w:before="0" w:after="283"/>
              <w:jc w:val="both"/>
              <w:rPr/>
            </w:pPr>
            <w:r>
              <w:rPr/>
              <w:t>Calculated by dividing gross revenue of Haidilao restaurant operations for the periods by total guests served for the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283"/>
              <w:jc w:val="both"/>
              <w:rPr/>
            </w:pPr>
            <w:r>
              <w:rPr/>
              <w:t>Calculated by dividing the revenue of Haidilao restaurant operations for the periods by the total Haidilao restaurant operating days of the 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283"/>
              <w:jc w:val="both"/>
              <w:rPr/>
            </w:pPr>
            <w:r>
              <w:rPr/>
              <w:t>Calculated by dividing restaurant level operating profit by restaurant level revenue. Restaurant level operating profit is calculated by deducting from restaurant level revenue certain restaurant level costs and expenses,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and (ii) management fees incurred in each region. The cost of restaurant level raw materials and consumables used included the cost of food ingredients and consumables associated with central kitchens that are used within our Haidilao restaurants as well as those procured directly from suppliers.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Same Store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table sets forth details of the Group’s same store sales of Haidilao restaurants by geographic region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4520"/>
        <w:gridCol w:w="60"/>
        <w:gridCol w:w="60"/>
        <w:gridCol w:w="695"/>
        <w:gridCol w:w="60"/>
        <w:gridCol w:w="60"/>
        <w:gridCol w:w="60"/>
        <w:gridCol w:w="695"/>
        <w:gridCol w:w="75"/>
      </w:tblGrid>
      <w:tr>
        <w:trPr/>
        <w:tc>
          <w:tcPr>
            <w:tcW w:w="452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pPr>
            <w:r>
              <w:rPr/>
              <w:t> </w:t>
            </w:r>
          </w:p>
        </w:tc>
        <w:tc>
          <w:tcPr>
            <w:tcW w:w="1630" w:type="dxa"/>
            <w:gridSpan w:val="6"/>
            <w:tcBorders/>
            <w:vAlign w:val="center"/>
          </w:tcPr>
          <w:p>
            <w:pPr>
              <w:pStyle w:val="TableContents"/>
              <w:bidi w:val="0"/>
              <w:spacing w:before="0" w:after="283"/>
              <w:jc w:val="center"/>
              <w:rPr>
                <w:b/>
                <w:sz w:val="20"/>
              </w:rPr>
            </w:pPr>
            <w:r>
              <w:rPr>
                <w:b/>
                <w:sz w:val="20"/>
              </w:rPr>
              <w:t>For the six months</w:t>
            </w:r>
          </w:p>
        </w:tc>
        <w:tc>
          <w:tcPr>
            <w:tcW w:w="75" w:type="dxa"/>
            <w:tcBorders/>
            <w:vAlign w:val="center"/>
          </w:tcPr>
          <w:p>
            <w:pPr>
              <w:pStyle w:val="TableContents"/>
              <w:bidi w:val="0"/>
              <w:spacing w:before="0" w:after="283"/>
              <w:jc w:val="center"/>
              <w:rPr/>
            </w:pPr>
            <w:r>
              <w:rPr/>
              <w:t> </w:t>
            </w:r>
          </w:p>
        </w:tc>
      </w:tr>
      <w:tr>
        <w:trPr/>
        <w:tc>
          <w:tcPr>
            <w:tcW w:w="452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ended June 30,</w:t>
            </w:r>
          </w:p>
        </w:tc>
        <w:tc>
          <w:tcPr>
            <w:tcW w:w="75" w:type="dxa"/>
            <w:tcBorders/>
            <w:vAlign w:val="center"/>
          </w:tcPr>
          <w:p>
            <w:pPr>
              <w:pStyle w:val="TableContents"/>
              <w:bidi w:val="0"/>
              <w:spacing w:before="0" w:after="283"/>
              <w:jc w:val="center"/>
              <w:rPr/>
            </w:pPr>
            <w:r>
              <w:rPr/>
              <w:t> </w:t>
            </w:r>
          </w:p>
        </w:tc>
      </w:tr>
      <w:tr>
        <w:trPr/>
        <w:tc>
          <w:tcPr>
            <w:tcW w:w="452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75" w:type="dxa"/>
            <w:tcBorders/>
            <w:vAlign w:val="center"/>
          </w:tcPr>
          <w:p>
            <w:pPr>
              <w:pStyle w:val="TableContents"/>
              <w:bidi w:val="0"/>
              <w:spacing w:before="0" w:after="283"/>
              <w:jc w:val="center"/>
              <w:rPr/>
            </w:pPr>
            <w:r>
              <w:rPr/>
              <w:t> </w:t>
            </w:r>
          </w:p>
        </w:tc>
      </w:tr>
      <w:tr>
        <w:trPr/>
        <w:tc>
          <w:tcPr>
            <w:tcW w:w="452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55" w:type="dxa"/>
            <w:gridSpan w:val="2"/>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 same stores</w:t>
            </w:r>
            <w:r>
              <w:rPr>
                <w:rFonts w:ascii="Times New Roman;Times;Serif" w:hAnsi="Times New Roman;Times;Serif"/>
                <w:b/>
                <w:i w:val="false"/>
                <w:caps w:val="false"/>
                <w:smallCaps w:val="false"/>
                <w:color w:val="231F20"/>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0" w:type="dxa"/>
            <w:gridSpan w:val="5"/>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0" w:type="dxa"/>
            <w:gridSpan w:val="5"/>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63</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0" w:type="dxa"/>
            <w:gridSpan w:val="5"/>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0" w:type="dxa"/>
            <w:gridSpan w:val="5"/>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0" w:type="dxa"/>
            <w:gridSpan w:val="5"/>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0" w:type="dxa"/>
            <w:gridSpan w:val="5"/>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108</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Same store sales</w:t>
            </w:r>
            <w:r>
              <w:rPr>
                <w:rFonts w:ascii="Times New Roman;Times;Serif" w:hAnsi="Times New Roman;Times;Serif"/>
                <w:b/>
                <w:i w:val="false"/>
                <w:caps w:val="false"/>
                <w:smallCaps w:val="false"/>
                <w:color w:val="231F20"/>
                <w:position w:val="7"/>
                <w:sz w:val="16"/>
                <w:sz w:val="20"/>
              </w:rPr>
              <w:t>(3)</w:t>
            </w:r>
            <w:r>
              <w:rPr>
                <w:rFonts w:ascii="Times New Roman;Times;Serif" w:hAnsi="Times New Roman;Times;Serif"/>
                <w:b/>
                <w:i w:val="false"/>
                <w:caps w:val="false"/>
                <w:smallCaps w:val="false"/>
                <w:color w:val="231F20"/>
                <w:sz w:val="20"/>
              </w:rPr>
              <w:t>  </w:t>
            </w:r>
            <w:r>
              <w:rPr>
                <w:rFonts w:ascii="Times New Roman;Times;Serif" w:hAnsi="Times New Roman;Times;Serif"/>
                <w:b/>
                <w:i/>
                <w:caps w:val="false"/>
                <w:smallCaps w:val="false"/>
                <w:color w:val="231F20"/>
                <w:sz w:val="20"/>
              </w:rPr>
              <w:t>(US$’000)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183,543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175,304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60,080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56,888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70,375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75,517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44,638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44,965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358,636</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352,674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Average same store sales per day</w:t>
            </w:r>
            <w:r>
              <w:rPr>
                <w:rFonts w:ascii="Times New Roman;Times;Serif" w:hAnsi="Times New Roman;Times;Serif"/>
                <w:b/>
                <w:i w:val="false"/>
                <w:caps w:val="false"/>
                <w:smallCaps w:val="false"/>
                <w:color w:val="231F20"/>
                <w:position w:val="7"/>
                <w:sz w:val="16"/>
                <w:sz w:val="20"/>
              </w:rPr>
              <w:t>(4)</w:t>
            </w:r>
            <w:r>
              <w:rPr>
                <w:rFonts w:ascii="Times New Roman;Times;Serif" w:hAnsi="Times New Roman;Times;Serif"/>
                <w:b/>
                <w:i w:val="false"/>
                <w:caps w:val="false"/>
                <w:smallCaps w:val="false"/>
                <w:color w:val="231F20"/>
                <w:sz w:val="20"/>
              </w:rPr>
              <w:t xml:space="preserve"> </w:t>
            </w:r>
            <w:r>
              <w:rPr>
                <w:rFonts w:ascii="Times New Roman;Times;Serif" w:hAnsi="Times New Roman;Times;Serif"/>
                <w:b/>
                <w:i/>
                <w:caps w:val="false"/>
                <w:smallCaps w:val="false"/>
                <w:color w:val="231F20"/>
                <w:sz w:val="20"/>
              </w:rPr>
              <w:t>(US$’000)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24.7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Overall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Average spending per guest </w:t>
            </w:r>
            <w:r>
              <w:rPr>
                <w:rFonts w:ascii="Times New Roman;Times;Serif" w:hAnsi="Times New Roman;Times;Serif"/>
                <w:b/>
                <w:i/>
                <w:caps w:val="false"/>
                <w:smallCaps w:val="false"/>
                <w:color w:val="231F20"/>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40.7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41.9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Overall</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Average same store table turnover rate</w:t>
            </w:r>
            <w:r>
              <w:rPr>
                <w:rFonts w:ascii="Times New Roman;Times;Serif" w:hAnsi="Times New Roman;Times;Serif"/>
                <w:b/>
                <w:i w:val="false"/>
                <w:caps w:val="false"/>
                <w:smallCaps w:val="false"/>
                <w:color w:val="231F20"/>
                <w:position w:val="7"/>
                <w:sz w:val="16"/>
                <w:sz w:val="20"/>
              </w:rPr>
              <w:t>(5)</w:t>
            </w:r>
            <w:r>
              <w:rPr>
                <w:rFonts w:ascii="Times New Roman;Times;Serif" w:hAnsi="Times New Roman;Times;Serif"/>
                <w:b/>
                <w:i w:val="false"/>
                <w:caps w:val="false"/>
                <w:smallCaps w:val="false"/>
                <w:color w:val="231F20"/>
                <w:sz w:val="20"/>
              </w:rPr>
              <w:t xml:space="preserve"> </w:t>
            </w:r>
            <w:r>
              <w:rPr>
                <w:rFonts w:ascii="Times New Roman;Times;Serif" w:hAnsi="Times New Roman;Times;Serif"/>
                <w:b/>
                <w:i/>
                <w:caps w:val="false"/>
                <w:smallCaps w:val="false"/>
                <w:color w:val="231F20"/>
                <w:sz w:val="20"/>
              </w:rPr>
              <w:t>(times/day)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Southeast Asia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East Asia</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North America</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Overall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Notes:</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755" w:type="dxa"/>
            <w:tcBorders/>
            <w:vAlign w:val="center"/>
          </w:tcPr>
          <w:p>
            <w:pPr>
              <w:pStyle w:val="TableContents"/>
              <w:bidi w:val="0"/>
              <w:spacing w:before="0" w:after="283"/>
              <w:jc w:val="left"/>
              <w:rPr/>
            </w:pPr>
            <w:r>
              <w:rPr/>
              <w:t>Includes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283"/>
              <w:jc w:val="both"/>
              <w:rPr/>
            </w:pPr>
            <w:r>
              <w:rPr/>
              <w:t>Includes restaurants that commenced operations prior to the beginning of the periods under comparison, remained in operation as of June 30, 2026 and operated for more than 150 days both in six months ended June 30, 2025 and six months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9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845" w:type="dxa"/>
            <w:tcBorders/>
            <w:vAlign w:val="center"/>
          </w:tcPr>
          <w:p>
            <w:pPr>
              <w:pStyle w:val="TableContents"/>
              <w:bidi w:val="0"/>
              <w:spacing w:before="0" w:after="283"/>
              <w:jc w:val="left"/>
              <w:rPr/>
            </w:pPr>
            <w:r>
              <w:rPr/>
              <w:t>Refers to the gross revenue of Haidilao restaurant operations at the same stores for the periods indicated.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283"/>
              <w:jc w:val="both"/>
              <w:rPr/>
            </w:pPr>
            <w:r>
              <w:rPr/>
              <w:t>Calculated by dividing the gross revenue of Haidilao restaurant operations at the same stores for the periods by the total Haidilao restaurant operating days at the same stores for the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(5)</w:t>
            </w:r>
          </w:p>
        </w:tc>
        <w:tc>
          <w:tcPr>
            <w:tcW w:w="9914" w:type="dxa"/>
            <w:tcBorders/>
            <w:vAlign w:val="center"/>
          </w:tcPr>
          <w:p>
            <w:pPr>
              <w:pStyle w:val="TableContents"/>
              <w:bidi w:val="0"/>
              <w:spacing w:before="0" w:after="283"/>
              <w:jc w:val="both"/>
              <w:rPr/>
            </w:pPr>
            <w:r>
              <w:rPr/>
              <w:t>Calculated by dividing the total tables served for the periods by the product of total Haidilao restaurant operating days for the periods and average table count at the same stores during the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Delivery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revenue from delivery business amounted to US$14.8 million for the six months ended June 30, 2026, representing an increase of 92.2% from US$7.7 million for the corresponding period in 2025. The increase was primarily due to (i) the continuous optimization of delivery offerings based on market demand, including product innovation and promotional initiatives; and (ii) the expansion of delivery channels and strengthened collaborations with local food delivery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 mainly consisted of revenue from sales of hot pot condiment products and food under Haidilao brand and secondary brands to local guests and retailers.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revenue from others amounted to US$28.0 million for the six months ended June 30, 2026, representing an increase of 143.5% from US$11.5 million for the corresponding period in 2025, driven by (i) the increasing popularity of hot pot condiment products, Haidilao-branded and sub-branded food products among local customers and retailers; and (ii) the incubation of secondary branded restaurants under the “Pomegranate Plan” through diversification into multiple business concepts.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income primarily consisted of (i) government grants; and (ii) interest income from bank deposits and rental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other income remained relatively stable at US$4.8 million for the six months ended June 30, 2026, compared to US$4.8 million for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Raw Materials and Consumables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Raw materials and consumables used consisted of costs for (i) food ingredients used in the restaurants, including the soup base and menu items; (ii) consumables used in the restaurant operations, including disposable items, such as napkins, disposable tableware and table cloths; and (iii) others, including logistics and transportation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raw materials and consumables used amounted to US$151.3 million for the six months ended June 30, 2026, representing an increase of 12.3% from US$134.7 million for the corresponding period in 2025. This increase was primarily driven by (i) continued business expansion, in line with the Company’s revenue growth; and (ii) increased sales of hot pot condiment products, Haidilao-branded and sub-branded food products, and the expansion of the secondary branded restaurants. As a percentage of revenue, the Group’s raw materials and consumables used remained stable at 34.0% for the six months ended June 30, 2025 and 34.0%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Staff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Staff costs consisted of (i) employee salaries and other allowances; (ii) employee welfare; and (iii) retirement benefit scheme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staff costs amounted to US$151.6 million for the six months ended June 30, 2026, representing an increase of 8.1% from US$140.2 million for the corresponding period in 2025. This increase was primarily attributable to (i) an increased number of employees to support the continued expansion of our restaurant network and enhance customer experience; (ii) ongoing investment in central support functions to strengthen management capabilities and operational efficiency; and (iii) higher statutory minimum wages in certain countries where we operated. As a percentage of revenue, the Group’s staff costs decreased from 35.3% for the six months ended June 30, 2025 to 34.1%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Rentals and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Rentals and related expenses mainly consisted of property management fees, variable lease payments and lease payments for short-term leases we entered into in relation to our offices and warehouses.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property rentals and related expenses amounted to US$11.9 million for the six months ended June 30, 2026, representing an increase of 2.6% from US$11.6 million for the corresponding period in 2025. This increase was mainly due to the increased property management fees resulting from the continued expansion of our restaurant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Utilities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Utilities expenses primarily consisted of expenses on electricity, gas and water.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utilities expenses remained relatively stable at US$14.1 million and US$14.5 million for the six months ended June 30, 2025 and 2026, respectively. As a percentage of revenue, utilities expenses remained relatively stable at 3.6% and 3.3% for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and amortization consisted of depreciation charges for the property, plant and equipment, which primarily included leasehold improvements, machinery, transportation equipment, furniture and fixtures and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depreciation and amortization amounted to US$41.7 million for the six months ended June 30, 2026, representing an increase of 5.0% from US$39.7 million for the corresponding period in 2025. This increase was mainly due to the increase in depreciation of right-of-use assets of US$2.5 million, in line with the continued expansion of the restaurant network. As a percentage of revenue, depreciation and amortization decreased from 10.0% for the six months ended June 30, 2025 to 9.4% for the six months ended June 30, 2026, primarily due to the increase in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Traveling and Communication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Traveling and communication expenses mainly consisted of international and regional travel expenses of staff for new restaurants opening and inspection of restaurant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traveling and communication expenses remained stable at US$3.7 million for the six months ended June 30, 2026, compared with US$3.7 million for the corresponding period in 2025. As a percentage of revenue, traveling and communication expenses remained relatively stable at 0.9% and 0.8% for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expenses consisted of (i) administrative expenses; (ii) outsourcing service fee; (iii) bank charges; (iv) consulting services expenses; and (v) others, which mainly consisted of daily maintenance expenses, storage expenses and business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other expenses amounted to US$45.9 million for the six months ended June 30, 2026, representing an increase of 12.8% from US$40.7 million for the corresponding period in 2025. This increase was primarily attributable to (i) an increase in business development expenses of US$3.4 million, primarily attributable to enhanced marketing efforts in support of continued business expansion, including strengthened collaboration with third-party platforms, and (ii) an increase in outsourcing service fee of US$1.1 million, stemming from restaurant network expansion. As a percentage of revenue, other expenses remained relatively stable at 10.3% for the six months ended June 30, 2026, compared with 10.3%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(Losses) Gains –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other (losses) gains primarily consisted of (i) net impairment loss or reversal of impairment recognized in respect of property, plant and equipment and right-of-use assets, representing provisions recorded by the Group; (ii) loss or gain on disposal of property, plant and equipment and termination of leases, mainly arising from derecognition of right-of-use assets and lease liabilities in relation to the termination of leases for certain premises; (iii) net foreign exchange (loss) gain, which fluctuated from year-to-year based on exchange rate movements; (iv) net gain or loss arising on financial assets at fair value through profit or loss (“</w:t>
      </w:r>
      <w:r>
        <w:rPr>
          <w:rFonts w:ascii="Times New Roman;Times;Serif" w:hAnsi="Times New Roman;Times;Serif"/>
          <w:b/>
          <w:i w:val="false"/>
          <w:caps w:val="false"/>
          <w:smallCaps w:val="false"/>
          <w:color w:val="231F20"/>
          <w:sz w:val="20"/>
        </w:rPr>
        <w:t>FVTPL</w:t>
      </w:r>
      <w:r>
        <w:rPr>
          <w:rFonts w:ascii="Times New Roman;Times;Serif" w:hAnsi="Times New Roman;Times;Serif"/>
          <w:b w:val="false"/>
          <w:i w:val="false"/>
          <w:caps w:val="false"/>
          <w:smallCaps w:val="false"/>
          <w:color w:val="231F20"/>
          <w:sz w:val="20"/>
        </w:rPr>
        <w:t>”); and (v)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recorded net other losses of US$11.0 million for the six months ended June 30, 2026, compared to net other gains of US$23.4 million for the corresponding period in 2025. This change was primarily attributable to the recognition of US$8.6 million in net foreign exchange losses for the six months ended June 30, 2026, compared to net foreign exchange gains of US$23.8 million for the corresponding period in 2025, as a result of exchange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Finance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Finance costs represented (i) interest on lease liabilities; and (ii) interest charge on unwinding of discounts, primarily in relation to provisions for restoration of the premises the Group used for the restaurants.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finance costs amounted to US$6.1 million for the six months ended June 30, 2026, representing an increase of 10.9% from US$5.5 million for the corresponding period in 2025. This increase was directly attributable to the expansion of our restaurant network, which drove corresponding growth in both lease liabilities and restaurant restoration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recorded income tax expenses of US$6.4 million and US$9.7 million for the six months ended June 30, 2025 and 2026, respectively. The taxation of the Group was calculated at the rates prevailing in relevant jurisdictions, which ranged from 9% to 33% on the estimated assessable profits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Profit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result of the foregoing, the Group recorded profit for the period of US$2.1 million for the six months ended June 30, 2026. For the corresponding period in 2025, the Group recorded profit for the period of US$28.3 million. This change was primarily due to a US$32.4 million increase in net foreign exchange loss, mainly arising from unrealized foreign exchange losses on US dollar-denominated intra-group balances as local currencies depreciated against the United States dollar during the Reporting Period, partially offset by the improved income from operation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Inventories mainly consisted of food ingredients and other materials used in the restaurant operations, the hot pot condiment products for sale and food products under Haidilao brand and secondary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inventories amounted to US$34.8 million as of June 30, 2026, representing a decrease of 7.2% from US$37.5 million as of December 31, 2025. This decrease primarily reflected the normalization of inventory levels during the Reporting Period, following the higher inventory levels that had been built up towards the end of 2025 in anticipation of seasonal demand during the peak business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turnover days of inventory decreased from 43.9 days for the year ended December 31, 2025 to 43.0 days for the six months ended June 30, 2026. Inventory turnover days equals the average of the beginning and ending inventories for that period divided by raw materials and consumables used for that period and multiplied by 360 days or 180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Trade and Other Receivables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Trade and other receivables and prepayments primarily consisted of (i) trade receivables from credit card networks, food delivery platforms and payment platforms; (ii) prepayment to suppliers; (iii) input value-added tax to be deducted; and (iv)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current portion of trade and other receivables and prepayments amounted to US$30.8 million as of June 30, 2026, representing a decrease of 13.7% from US$35.7 million as of December 31, 2025. This decrease was primarily attributable to higher trade receivable balances at the prior year end resulting from holiday season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non-current portion of trade and other receivables and prepayments consisted of non-current other receivables and non-current prepayments, which remained relatively stable at US$2.3 million and US$2.2 million as of December 31, 2025 and June 30,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turnover days of trade receivables for the year ended December 31, 2025 and for the six months ended June 30, 2026 were 7.1 days and 6.4 days, respectively. Trade receivables turnover days for each period equals the average of the beginning and ending balances of trade receivables for that period divided by the revenue for the period and multiplied by 360 days or 180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Trade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Trade payables mainly consisted of the balances due to the Group’s suppliers of food ingredients and consumables. The majority of trade payables had a credit term of 30 to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trade payables amounted to US$33.6 million as of June 30, 2026, representing a decrease of 7.4% from US$36.3 million as of December 31, 2025. The decrease primarily reflected the settlement of payables relating to raw material purchases made at the end of the prior year in anticipation of the peak business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turnover days of trade payables for the year ended December 31, 2025 and for the six months ended June 30, 2026 were 42.6 days and 41.6 days, respectively. Trade payable turnover days for each period equals the average of the beginning and ending balances of trade payable for that period divided by raw materials and consumables used for the period and multiplied by 360 days or 180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primary uses of cash of the Group are to fund its operations, expansion and capital expenditures. During the six months ended June 30, 2026, the Company primarily funded its working capital through cash generated from its operations, and it also adopted flexible and diverse financing methods when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has adopted prudent treasury policies in cash and financial management and closely monitors its liquidity and capital resources on a regular basis, and thus maintained a healthy liquidity position during the Reporting Period. To manage liquidity risk, the management closely monitors the Group’s liquidity position and maintains sufficient cash and cash equivalents, ensures the availability of funding, and preserves the ability to settle the Group’s payables. As of June 30, 2026, the Group had total bank balances and cash (including time deposits) of US$266.4 million and net current assets of US$204.6 million, with no bank borrowings. Taking into account the cash generated from its operations and its cash and cash equivalents, the Directors are of the view that the Group maintained a healthy liquidity position during the Reporting Period and has sufficient working capital to meet its present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primary goal of the Group’s capital management is to maintain the Group’s stability and growth, safeguard its normal operations while maximizing shareholders’ value through the optimization of debt and equity balances. The Group’s overall strategy remained unchanged during the six months ended June 30, 2026. As of June 30, 2026, the Company’s capital structure comprised issued share capital and reserves. There has been no change in the capital structure since December 31, 2025. The Group did not have any debt securities or other capital instruments as of June 30, 2026. The Group regularly reviews and manages its capital structure, making timely adjustments in response to changing economic conditions. Such adjustments may include modifications to dividend distributions, capital increases, and the issuance of new capital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Bank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bank borrowings or committed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principal uses of cash are for working capital to open new restaurants and expand restaurant network, procure food ingredients, consumables and equipment, enhance supply chain management capabilities, conduct R&amp;D to enhance digitalization and other technologies for restaurant management, and renovate and decorate the restaurants. As of June 30, 2026, the Group’s total bank balances and cash (including time deposits) amounted to US$266.4 million, representing a decrease of 2.1% from US$272.0 million as of December 31, 2025. Of this total, US$118.7 million was placed in time deposits with original maturities of over three months to one year, bearing fixed interest rates ranging from 4.12% to 7.80% per annum. Excluding such time deposits, the Group’s cash and cash equivalents amounted to US$147.7 million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Capital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Capital expenditure represented additions to (i) leasehold improvements; (ii) machinery; (iii) transportation equipment; (iv) furniture and fixture; and (v) renovation in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capital expenditure amounted to US$35.6 million for the six months ended June 30, 2026, which was mainly for the Group’s new restaurants opened and those still in the process of renovation and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plans to finance future capital expenditures through cash generated from its operations, and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Charge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charged bank deposits of US$3.5 million to banks to secure rental payments to the lessors.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Future Plans for Material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will continue to extensively identify potential strategic investment opportunities and seek to acquire potential high-quality target businesses and assets that create synergies for the Group. During the six months ended June 30, 2026 and up to the date of this announcement, the Group does not have any concrete committed plans for material investments and capital assets for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Financial Ratios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table sets forth certain of the Company’s financial ratios as of the dates and for the periods indicated:</w:t>
      </w:r>
    </w:p>
    <w:p>
      <w:pPr>
        <w:pStyle w:val="TextBody"/>
        <w:bidi w:val="0"/>
        <w:spacing w:before="0" w:after="0"/>
        <w:ind w:left="0" w:right="0" w:hanging="0"/>
        <w:jc w:val="left"/>
        <w:rPr>
          <w:caps w:val="false"/>
          <w:smallCaps w:val="false"/>
        </w:rPr>
      </w:pPr>
      <w:r>
        <w:rPr>
          <w:caps w:val="false"/>
          <w:smallCaps w:val="false"/>
        </w:rPr>
        <w:t> </w:t>
      </w:r>
    </w:p>
    <w:tbl>
      <w:tblPr>
        <w:tblW w:w="3463" w:type="dxa"/>
        <w:jc w:val="left"/>
        <w:tblInd w:w="0" w:type="dxa"/>
        <w:tblLayout w:type="fixed"/>
        <w:tblCellMar>
          <w:top w:w="0" w:type="dxa"/>
          <w:left w:w="0" w:type="dxa"/>
          <w:bottom w:w="0" w:type="dxa"/>
          <w:right w:w="0" w:type="dxa"/>
        </w:tblCellMar>
      </w:tblPr>
      <w:tblGrid>
        <w:gridCol w:w="1310"/>
        <w:gridCol w:w="60"/>
        <w:gridCol w:w="129"/>
        <w:gridCol w:w="595"/>
        <w:gridCol w:w="60"/>
        <w:gridCol w:w="60"/>
        <w:gridCol w:w="210"/>
        <w:gridCol w:w="964"/>
        <w:gridCol w:w="75"/>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December 31, </w:t>
              <w:b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Current ratio</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Gearing ratio</w:t>
            </w:r>
            <w:r>
              <w:rPr>
                <w:rFonts w:ascii="Times New Roman;Times;Serif" w:hAnsi="Times New Roman;Times;Serif"/>
                <w:b w:val="false"/>
                <w:i w:val="false"/>
                <w:caps w:val="false"/>
                <w:smallCaps w:val="false"/>
                <w:color w:val="231F20"/>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tbl>
      <w:tblPr>
        <w:tblW w:w="5304" w:type="dxa"/>
        <w:jc w:val="left"/>
        <w:tblInd w:w="0" w:type="dxa"/>
        <w:tblLayout w:type="fixed"/>
        <w:tblCellMar>
          <w:top w:w="0" w:type="dxa"/>
          <w:left w:w="0" w:type="dxa"/>
          <w:bottom w:w="0" w:type="dxa"/>
          <w:right w:w="0" w:type="dxa"/>
        </w:tblCellMar>
      </w:tblPr>
      <w:tblGrid>
        <w:gridCol w:w="3005"/>
        <w:gridCol w:w="60"/>
        <w:gridCol w:w="145"/>
        <w:gridCol w:w="919"/>
        <w:gridCol w:w="145"/>
        <w:gridCol w:w="145"/>
        <w:gridCol w:w="145"/>
        <w:gridCol w:w="665"/>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14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 margin</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Restaurant level operating margin</w:t>
            </w:r>
            <w:r>
              <w:rPr>
                <w:rFonts w:ascii="Times New Roman;Times;Serif" w:hAnsi="Times New Roman;Times;Serif"/>
                <w:b w:val="false"/>
                <w:i w:val="false"/>
                <w:caps w:val="false"/>
                <w:smallCaps w:val="false"/>
                <w:color w:val="231F20"/>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10.7</w:t>
            </w:r>
          </w:p>
        </w:tc>
        <w:tc>
          <w:tcPr>
            <w:tcW w:w="1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283"/>
        <w:jc w:val="left"/>
        <w:rPr/>
      </w:pPr>
      <w:r>
        <w:rPr/>
        <w:t> </w:t>
      </w:r>
    </w:p>
    <w:tbl>
      <w:tblPr>
        <w:tblW w:w="755" w:type="dxa"/>
        <w:jc w:val="left"/>
        <w:tblInd w:w="0" w:type="dxa"/>
        <w:tblLayout w:type="fixed"/>
        <w:tblCellMar>
          <w:top w:w="0" w:type="dxa"/>
          <w:left w:w="0" w:type="dxa"/>
          <w:bottom w:w="0" w:type="dxa"/>
          <w:right w:w="0" w:type="dxa"/>
        </w:tblCellMar>
      </w:tblPr>
      <w:tblGrid>
        <w:gridCol w:w="560"/>
        <w:gridCol w:w="60"/>
        <w:gridCol w:w="60"/>
        <w:gridCol w:w="75"/>
      </w:tblGrid>
      <w:tr>
        <w:trPr/>
        <w:tc>
          <w:tcPr>
            <w:tcW w:w="560" w:type="dxa"/>
            <w:tcBorders/>
            <w:vAlign w:val="center"/>
          </w:tcPr>
          <w:p>
            <w:pPr>
              <w:pStyle w:val="TableContents"/>
              <w:bidi w:val="0"/>
              <w:spacing w:before="0" w:after="283"/>
              <w:jc w:val="left"/>
              <w:rPr>
                <w:i/>
                <w:sz w:val="20"/>
              </w:rPr>
            </w:pPr>
            <w:r>
              <w:rPr>
                <w:i/>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9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590" w:type="dxa"/>
            <w:tcBorders/>
            <w:vAlign w:val="center"/>
          </w:tcPr>
          <w:p>
            <w:pPr>
              <w:pStyle w:val="TableContents"/>
              <w:bidi w:val="0"/>
              <w:spacing w:before="0" w:after="283"/>
              <w:jc w:val="left"/>
              <w:rPr/>
            </w:pPr>
            <w:r>
              <w:rPr/>
              <w:t>Equals current assets divided by current liabilities as of the same date.</w:t>
            </w:r>
          </w:p>
        </w:tc>
      </w:tr>
    </w:tbl>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9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840" w:type="dxa"/>
            <w:tcBorders/>
            <w:vAlign w:val="center"/>
          </w:tcPr>
          <w:p>
            <w:pPr>
              <w:pStyle w:val="TableContents"/>
              <w:bidi w:val="0"/>
              <w:spacing w:before="0" w:after="283"/>
              <w:jc w:val="left"/>
              <w:rPr/>
            </w:pPr>
            <w:r>
              <w:rPr/>
              <w:t>Equals total borrowings (including lease liabilities) divided by total assets as of the same date.</w:t>
            </w:r>
          </w:p>
        </w:tc>
      </w:tr>
    </w:tbl>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9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160" w:type="dxa"/>
            <w:tcBorders/>
            <w:vAlign w:val="center"/>
          </w:tcPr>
          <w:p>
            <w:pPr>
              <w:pStyle w:val="TableContents"/>
              <w:bidi w:val="0"/>
              <w:spacing w:before="0" w:after="283"/>
              <w:jc w:val="left"/>
              <w:rPr/>
            </w:pPr>
            <w:r>
              <w:rPr/>
              <w:t>Equals income from operation divided by total revenue for the same period.</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29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8975" w:type="dxa"/>
            <w:tcBorders/>
            <w:vAlign w:val="center"/>
          </w:tcPr>
          <w:p>
            <w:pPr>
              <w:pStyle w:val="TableContents"/>
              <w:bidi w:val="0"/>
              <w:spacing w:before="0" w:after="283"/>
              <w:jc w:val="left"/>
              <w:rPr/>
            </w:pPr>
            <w:r>
              <w:rPr/>
              <w:t>Equals restaurant level operating profit divided by restaurant level revenue for the same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Foreign Exchange Risk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undertook certain transactions in foreign currencies, which exposed it to foreign currency risks. The principal currency exposures arise from the fluctuations in the value of the US dollar relative to the local currencies of the markets in which the Group operates. During the Reporting Period, the Group recorded net foreign exchange losses of US$8.6 million (the corresponding period in 2025: net foreign exchange gains of US$23.8 million). The Group does not have a foreign exchange hedging policy and has not entered into any derivative contracts to hedge its exposure to foreign exchange fluctuations. The Group manages its currency risks by closely monitoring the movement of the foreign currency rates, and by maintaining a diversified geographic revenue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However, given the significance of the foreign exchange impact on the Group’s results during the Reporting Period, the Board will continue to assess whether a formal hedging policy should be adopted and will keep shareholders informed.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material contingent liabilities, guarantees or any litigations or claims of material importance, pending or threatened against any member of the Group that is likely to have a material and adverse effect on the Group’s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Company did not have any material acquisitions or disposals of any subsidiaries, associates and joint ventures for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Significant Investment under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Group did not hold any investment (including wealth management products) that on a standalone basis carried a value of 5% or more of the Group’s total assets as of June 30, 2026. During the Reporting Period, the Group’s transactions in financial assets, on both standalone and aggregate basis, did not constitute notifiable transactions under Chapter 14 of the Rules Governing the Listing of Securities on The Stock Exchange of Hong Kong Limited (the “</w:t>
      </w:r>
      <w:r>
        <w:rPr>
          <w:rFonts w:ascii="Times New Roman;Times;Serif" w:hAnsi="Times New Roman;Times;Serif"/>
          <w:b/>
          <w:i w:val="false"/>
          <w:caps w:val="false"/>
          <w:smallCaps w:val="false"/>
          <w:color w:val="231F20"/>
          <w:sz w:val="20"/>
        </w:rPr>
        <w:t>Listing Rules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 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in this announcement, during the Reporting Period, there were no material changes affecting the Group’s performance that need to be disclosed under Paragraphs 40(2) and 46 of Appendix D2 to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Employees and Remuneration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had a total of 14,242 full-time and part-time employees. During the Reporting Period, the Group incurred staff costs (including salaries and other allowances, welfare and retirement benefit scheme contributions) of US$151.6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remuneration policy is determined by the salary levels in different regions, employee rank and performance and the market conditions. The Group also provides other benefits to its employees, including medical schemes, pension contribution schemes and share award schemes. To maintain the quality, knowledge and skill levels of the workforce, the Group provides regular and specialized trainings tailored to the needs of employees in different departments, including regular training sessions conducted by senior employees or third-party consultants covering various aspects of the business operations of the Group, for employees to stay up to date with both catering segment developments and service skills. The Group also organizes workshops from time to time to discuss specific topics.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Non-IFRS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evaluating the Group’s business, the Group considers and uses a non-IFRS measure, restaurant level operating margin, which is calculated by dividing (i) restaurant level operating profit by (ii) restaurant level revenue, as supplemental measures to review and assess its operating performance. The presentation of these non-IFRS financial measures is not intended to be considered in isolation or as a substitute for the financial information prepared and presented in accordance with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Restaurant level operating margin is a supplemental measure of operating performance of the Group’s restaurants and its calculations thereof may not be comparable to similar measures reported by other companies. Restaurant level operating margin has limitations as an analytical tool and should not be considered as a substitute for analysis of the Group’s results as reported under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Restaurant level revenue refers to the total revenue generated from the Group’s two major service lines – Haidilao restaurant operations and delivery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Restaurant level operating profit is calculated by deducting certain restaurant level costs and expenses from restaurant level revenue,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and (ii) management fees incurred in each region. The cost of restaurant level raw materials and consumables used included the cost of food ingredients and consumables associated with central kitchens that are used within the Group’s Haidilao restaurants as well as those procured directly from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believes that restaurant level operating margin is an important measure to evaluate the performance and profitability of each of the Group’s restaurants, individually and in the aggregate. The Group uses restaurant level operating margin information to benchmark the Group’s performance versus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table set forth below reconciles total revenue to restaurant level revenue:</w:t>
      </w:r>
    </w:p>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045"/>
        <w:gridCol w:w="60"/>
        <w:gridCol w:w="60"/>
        <w:gridCol w:w="695"/>
        <w:gridCol w:w="80"/>
        <w:gridCol w:w="60"/>
        <w:gridCol w:w="60"/>
        <w:gridCol w:w="695"/>
        <w:gridCol w:w="9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six months </w:t>
              <w:br/>
              <w:t>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6"/>
            <w:tcBorders/>
            <w:vAlign w:val="center"/>
          </w:tcPr>
          <w:p>
            <w:pPr>
              <w:pStyle w:val="TableContents"/>
              <w:bidi w:val="0"/>
              <w:spacing w:before="0" w:after="283"/>
              <w:jc w:val="center"/>
              <w:rPr>
                <w:i/>
                <w:sz w:val="20"/>
              </w:rPr>
            </w:pPr>
            <w:r>
              <w:rPr>
                <w:i/>
                <w:sz w:val="20"/>
              </w:rPr>
              <w:t>(US$’000)</w:t>
            </w:r>
          </w:p>
        </w:tc>
        <w:tc>
          <w:tcPr>
            <w:tcW w:w="9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444,754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396,733</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Less: Revenue (Others)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(27,927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(11,527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20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045" w:type="dxa"/>
            <w:tcBorders/>
            <w:shd w:fill="FFFFFF" w:val="clear"/>
            <w:vAlign w:val="center"/>
          </w:tcPr>
          <w:p>
            <w:pPr>
              <w:pStyle w:val="TableContents"/>
              <w:bidi w:val="0"/>
              <w:spacing w:before="0" w:after="283"/>
              <w:jc w:val="left"/>
              <w:rPr>
                <w:sz w:val="20"/>
              </w:rPr>
            </w:pPr>
            <w:r>
              <w:rPr>
                <w:sz w:val="20"/>
              </w:rPr>
              <w:t>Restaurant level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416,827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385,206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restaurant level operating margin is as follows:    </w:t>
      </w:r>
    </w:p>
    <w:p>
      <w:pPr>
        <w:pStyle w:val="TextBody"/>
        <w:bidi w:val="0"/>
        <w:spacing w:before="0" w:after="283"/>
        <w:jc w:val="left"/>
        <w:rPr/>
      </w:pPr>
      <w:r>
        <w:rPr/>
        <w:t> </w:t>
      </w:r>
    </w:p>
    <w:tbl>
      <w:tblPr>
        <w:tblW w:w="5560" w:type="dxa"/>
        <w:jc w:val="left"/>
        <w:tblInd w:w="0" w:type="dxa"/>
        <w:tblLayout w:type="fixed"/>
        <w:tblCellMar>
          <w:top w:w="0" w:type="dxa"/>
          <w:left w:w="0" w:type="dxa"/>
          <w:bottom w:w="0" w:type="dxa"/>
          <w:right w:w="0" w:type="dxa"/>
        </w:tblCellMar>
      </w:tblPr>
      <w:tblGrid>
        <w:gridCol w:w="3395"/>
        <w:gridCol w:w="60"/>
        <w:gridCol w:w="60"/>
        <w:gridCol w:w="755"/>
        <w:gridCol w:w="215"/>
        <w:gridCol w:w="60"/>
        <w:gridCol w:w="60"/>
        <w:gridCol w:w="755"/>
        <w:gridCol w:w="20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 xml:space="preserve">For the six months </w:t>
              <w:br/>
              <w:t>ended June 30,</w:t>
            </w:r>
          </w:p>
        </w:tc>
        <w:tc>
          <w:tcPr>
            <w:tcW w:w="20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2025</w:t>
            </w:r>
          </w:p>
        </w:tc>
        <w:tc>
          <w:tcPr>
            <w:tcW w:w="20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(US$’000)</w:t>
            </w:r>
          </w:p>
        </w:tc>
        <w:tc>
          <w:tcPr>
            <w:tcW w:w="20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Restaurant level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416,827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385,206</w:t>
            </w:r>
          </w:p>
        </w:tc>
        <w:tc>
          <w:tcPr>
            <w:tcW w:w="20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Less: Restaurant level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(372,396</w:t>
            </w:r>
          </w:p>
        </w:tc>
        <w:tc>
          <w:tcPr>
            <w:tcW w:w="215" w:type="dxa"/>
            <w:tcBorders/>
            <w:shd w:fill="FFFF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(360,390</w:t>
            </w:r>
          </w:p>
        </w:tc>
        <w:tc>
          <w:tcPr>
            <w:tcW w:w="20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Restaurant level 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44,431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24,816</w:t>
            </w:r>
          </w:p>
        </w:tc>
        <w:tc>
          <w:tcPr>
            <w:tcW w:w="20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Restaurant level operating margin*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10.7</w:t>
            </w:r>
          </w:p>
        </w:tc>
        <w:tc>
          <w:tcPr>
            <w:tcW w:w="2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Restaurant level operating margin is calculated by dividing (i) restaurant level operating profit by (ii) restaurant level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set forth below reconciles income from operation, the most directly comparable IFRS measure to the restaurant level operating profit.</w:t>
      </w:r>
    </w:p>
    <w:p>
      <w:pPr>
        <w:pStyle w:val="TextBody"/>
        <w:bidi w:val="0"/>
        <w:spacing w:before="0" w:after="0"/>
        <w:ind w:left="0" w:right="0" w:hanging="0"/>
        <w:jc w:val="left"/>
        <w:rPr>
          <w:caps w:val="false"/>
          <w:smallCaps w:val="false"/>
        </w:rPr>
      </w:pPr>
      <w:r>
        <w:rPr>
          <w:caps w:val="false"/>
          <w:smallCaps w:val="false"/>
        </w:rPr>
        <w:t> </w:t>
      </w:r>
    </w:p>
    <w:tbl>
      <w:tblPr>
        <w:tblW w:w="6942" w:type="dxa"/>
        <w:jc w:val="left"/>
        <w:tblInd w:w="0" w:type="dxa"/>
        <w:tblLayout w:type="fixed"/>
        <w:tblCellMar>
          <w:top w:w="0" w:type="dxa"/>
          <w:left w:w="0" w:type="dxa"/>
          <w:bottom w:w="0" w:type="dxa"/>
          <w:right w:w="0" w:type="dxa"/>
        </w:tblCellMar>
      </w:tblPr>
      <w:tblGrid>
        <w:gridCol w:w="3815"/>
        <w:gridCol w:w="60"/>
        <w:gridCol w:w="101"/>
        <w:gridCol w:w="1100"/>
        <w:gridCol w:w="364"/>
        <w:gridCol w:w="101"/>
        <w:gridCol w:w="101"/>
        <w:gridCol w:w="1100"/>
        <w:gridCol w:w="20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364"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7" w:type="dxa"/>
            <w:gridSpan w:val="6"/>
            <w:tcBorders/>
            <w:vAlign w:val="center"/>
          </w:tcPr>
          <w:p>
            <w:pPr>
              <w:pStyle w:val="TableContents"/>
              <w:bidi w:val="0"/>
              <w:spacing w:before="0" w:after="283"/>
              <w:jc w:val="center"/>
              <w:rPr>
                <w:i/>
                <w:sz w:val="20"/>
              </w:rPr>
            </w:pPr>
            <w:r>
              <w:rPr>
                <w:i/>
                <w:sz w:val="20"/>
              </w:rPr>
              <w:t>(US$’000)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22,053</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sz w:val="20"/>
              </w:rPr>
            </w:pPr>
            <w:r>
              <w:rPr>
                <w:sz w:val="20"/>
              </w:rPr>
              <w:t>Revenue (Others)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(27,927</w:t>
            </w:r>
          </w:p>
        </w:tc>
        <w:tc>
          <w:tcPr>
            <w:tcW w:w="364" w:type="dxa"/>
            <w:tcBorders/>
            <w:shd w:fill="CCEEFF" w:val="clear"/>
            <w:vAlign w:val="center"/>
          </w:tcPr>
          <w:p>
            <w:pPr>
              <w:pStyle w:val="TableContents"/>
              <w:bidi w:val="0"/>
              <w:spacing w:before="0" w:after="283"/>
              <w:jc w:val="left"/>
              <w:rPr>
                <w:b/>
                <w:sz w:val="20"/>
              </w:rPr>
            </w:pPr>
            <w:r>
              <w:rPr>
                <w:b/>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(11,527</w:t>
            </w:r>
          </w:p>
        </w:tc>
        <w:tc>
          <w:tcPr>
            <w:tcW w:w="20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(962</w:t>
            </w:r>
          </w:p>
        </w:tc>
        <w:tc>
          <w:tcPr>
            <w:tcW w:w="3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non-restaurant level cost and expenses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consumables used</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17,520</w:t>
            </w:r>
          </w:p>
        </w:tc>
        <w:tc>
          <w:tcPr>
            <w:tcW w:w="36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6,822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15,411</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Rentals and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1,051</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1,199</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5,069</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Traveling and communication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874</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7,196</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 – net</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2,947</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sz w:val="20"/>
              </w:rPr>
            </w:pPr>
            <w:r>
              <w:rPr>
                <w:sz w:val="20"/>
              </w:rPr>
              <w:t>Restaurant level operating profit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44,431</w:t>
            </w:r>
          </w:p>
        </w:tc>
        <w:tc>
          <w:tcPr>
            <w:tcW w:w="36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24,816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6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sz w:val="20"/>
              </w:rPr>
            </w:pPr>
            <w:r>
              <w:rPr>
                <w:sz w:val="20"/>
              </w:rPr>
              <w:t>Restaurant level operating margin</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10.7</w:t>
            </w:r>
          </w:p>
        </w:tc>
        <w:tc>
          <w:tcPr>
            <w:tcW w:w="364" w:type="dxa"/>
            <w:tcBorders/>
            <w:shd w:fill="FFFFFF" w:val="clear"/>
            <w:vAlign w:val="center"/>
          </w:tcPr>
          <w:p>
            <w:pPr>
              <w:pStyle w:val="TableContents"/>
              <w:bidi w:val="0"/>
              <w:spacing w:before="0" w:after="283"/>
              <w:jc w:val="left"/>
              <w:rPr>
                <w:b/>
                <w:sz w:val="20"/>
              </w:rPr>
            </w:pPr>
            <w:r>
              <w:rPr>
                <w:b/>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6.4</w:t>
            </w:r>
          </w:p>
        </w:tc>
        <w:tc>
          <w:tcPr>
            <w:tcW w:w="20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283"/>
              <w:jc w:val="both"/>
              <w:rPr/>
            </w:pPr>
            <w:r>
              <w:rPr/>
              <w:t>Income from operation is calculated by profit for the period excluding interest income (included within other income), finance costs, unrealized foreign exchange differences arising from remeasurement of balances which are not denominated in functional currency, net gain arising on financial assets at FVTPL and income tax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Other income primarily consists of the subsidies received from the local governments for the Group’s business development but does not include non-operating interest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Non-restaurant level cost and expenses mainly relate to costs associated with revenue (others), operational costs and expenses associated with central kitchens, and corporate and unallocated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283"/>
              <w:jc w:val="both"/>
              <w:rPr/>
            </w:pPr>
            <w:r>
              <w:rPr/>
              <w:t>Raw materials and consumables used in non-restaurant level operations mainly relate to cost of food ingredients purchased by central kitchens that are not used for Haidilao restaurants, but which are used for sales of hot pot condiment products and food under Haidilao brand and secondary brands to local guests and retailers.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283"/>
              <w:jc w:val="both"/>
              <w:rPr/>
            </w:pPr>
            <w:r>
              <w:rPr/>
              <w:t>Other losses – net primarily consist of net impairment loss (reversal) recognized in respect of property, plant and equipment and right-of-use assets, but do not include unrealized foreign exchange differences arising from remeasurement of balances which are not denominated in functional currency and net gain arising on financial assets at FVTPL.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PROFIT OR LOSS AND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0" w:type="dxa"/>
          <w:right w:w="0" w:type="dxa"/>
        </w:tblCellMar>
      </w:tblPr>
      <w:tblGrid>
        <w:gridCol w:w="5285"/>
        <w:gridCol w:w="60"/>
        <w:gridCol w:w="485"/>
        <w:gridCol w:w="60"/>
        <w:gridCol w:w="60"/>
        <w:gridCol w:w="94"/>
        <w:gridCol w:w="1193"/>
        <w:gridCol w:w="197"/>
        <w:gridCol w:w="94"/>
        <w:gridCol w:w="94"/>
        <w:gridCol w:w="1193"/>
        <w:gridCol w:w="9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i/>
                <w:sz w:val="20"/>
              </w:rPr>
            </w:pPr>
            <w:r>
              <w:rPr>
                <w:i/>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gridSpan w:val="2"/>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gridSpan w:val="2"/>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444,754</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4,821</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consumables used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(151,309</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(151,637</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Rentals and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(11,949</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(14,456</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(41,691</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Traveling and communication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(3,731</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(45,943</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 gains –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(10,953</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(6,126</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before tax</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11,780</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(9,657</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2,123</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(expense)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that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sz w:val="20"/>
              </w:rPr>
            </w:pPr>
            <w:r>
              <w:rPr>
                <w:sz w:val="20"/>
              </w:rPr>
              <w:t xml:space="preserve">Exchange differences arising on translation of foreign </w:t>
            </w:r>
            <w:r>
              <w:rPr>
                <w:rFonts w:ascii="Times New Roman;Times;Serif" w:hAnsi="Times New Roman;Times;Serif"/>
                <w:sz w:val="20"/>
              </w:rPr>
              <w:t>operations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3,634</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5,757</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for the period attributable to:</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2,191</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2,123</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attributable to:</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Company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5,878</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w:t>
            </w:r>
          </w:p>
        </w:tc>
        <w:tc>
          <w:tcPr>
            <w:tcW w:w="1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5,757</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(USD)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8102"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Less than USD0.01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STATEMENT OF FINANCIAL POSITION</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at June 30, 2026</w:t>
      </w:r>
    </w:p>
    <w:p>
      <w:pPr>
        <w:pStyle w:val="TextBody"/>
        <w:bidi w:val="0"/>
        <w:spacing w:before="0" w:after="0"/>
        <w:ind w:left="0" w:right="0" w:hanging="0"/>
        <w:jc w:val="left"/>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3695"/>
        <w:gridCol w:w="60"/>
        <w:gridCol w:w="60"/>
        <w:gridCol w:w="485"/>
        <w:gridCol w:w="60"/>
        <w:gridCol w:w="60"/>
        <w:gridCol w:w="60"/>
        <w:gridCol w:w="1775"/>
        <w:gridCol w:w="60"/>
        <w:gridCol w:w="60"/>
        <w:gridCol w:w="60"/>
        <w:gridCol w:w="1550"/>
        <w:gridCol w:w="75"/>
      </w:tblGrid>
      <w:tr>
        <w:trPr/>
        <w:tc>
          <w:tcPr>
            <w:tcW w:w="36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June 30,</w:t>
              <w:b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December 31,</w:t>
              <w:br/>
              <w:t>2025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USD’000</w:t>
            </w:r>
            <w:r>
              <w:rPr>
                <w:rFonts w:ascii="Times New Roman;Times;Serif" w:hAnsi="Times New Roman;Times;Serif"/>
                <w:b/>
                <w:i w:val="false"/>
                <w:caps w:val="false"/>
                <w:smallCaps w:val="false"/>
                <w:sz w:val="20"/>
              </w:rPr>
              <w:t xml:space="preserve"> (unaudited)</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USD’000</w:t>
            </w:r>
            <w:r>
              <w:rPr>
                <w:rFonts w:ascii="Times New Roman;Times;Serif" w:hAnsi="Times New Roman;Times;Serif"/>
                <w:b w:val="false"/>
                <w:i w:val="false"/>
                <w:caps w:val="false"/>
                <w:smallCaps w:val="false"/>
                <w:sz w:val="20"/>
              </w:rPr>
              <w:t xml:space="preserve"> (audited)</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Right-of-use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210,544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204,180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474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4,964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4,725</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receivables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1,960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1,961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Prepayments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325</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Rental and other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20,890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20,709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410,185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392,512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Trade and other receivables and prepayments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30,831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35,652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Rental and other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5,329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5,417</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Pledged bank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3,544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2,793</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Bank balances and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266,403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271,990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353,371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payables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38,340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42,980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1,228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2,177</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Tax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6,147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7,031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44,954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45,662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Contract liabilities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10,204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10,658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Provisions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1,856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1,987</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204,576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206,539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STATEMENT OF FINANCIAL POSITION (cont’d)</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at June 30, 2026</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3755"/>
        <w:gridCol w:w="60"/>
        <w:gridCol w:w="60"/>
        <w:gridCol w:w="485"/>
        <w:gridCol w:w="60"/>
        <w:gridCol w:w="60"/>
        <w:gridCol w:w="60"/>
        <w:gridCol w:w="1775"/>
        <w:gridCol w:w="80"/>
        <w:gridCol w:w="60"/>
        <w:gridCol w:w="60"/>
        <w:gridCol w:w="1550"/>
        <w:gridCol w:w="95"/>
      </w:tblGrid>
      <w:tr>
        <w:trPr/>
        <w:tc>
          <w:tcPr>
            <w:tcW w:w="37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June 30,</w:t>
              <w:br/>
              <w:t>2026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December 31,</w:t>
              <w:br/>
              <w:t>2025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USD’000</w:t>
            </w:r>
            <w:r>
              <w:rPr>
                <w:rFonts w:ascii="Times New Roman;Times;Serif" w:hAnsi="Times New Roman;Times;Serif"/>
                <w:b/>
                <w:i w:val="false"/>
                <w:caps w:val="false"/>
                <w:smallCaps w:val="false"/>
                <w:sz w:val="20"/>
              </w:rPr>
              <w:t xml:space="preserve"> (unaudited)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USD’000</w:t>
            </w:r>
            <w:r>
              <w:rPr>
                <w:rFonts w:ascii="Times New Roman;Times;Serif" w:hAnsi="Times New Roman;Times;Serif"/>
                <w:b w:val="false"/>
                <w:i w:val="false"/>
                <w:caps w:val="false"/>
                <w:smallCaps w:val="false"/>
                <w:sz w:val="20"/>
              </w:rPr>
              <w:t xml:space="preserve"> (audited)</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54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6,518</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6,184</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189,428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183,139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Contract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2,726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2,905</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16,381</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15,179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391,644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sz w:val="20"/>
              </w:rPr>
            </w:pPr>
            <w:r>
              <w:rPr>
                <w:b/>
                <w:sz w:val="20"/>
              </w:rPr>
              <w:t>Capital and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 premium</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550,593</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550,593</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Shares held under share award scheme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Reserves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(154,616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(160,494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395,980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3,728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1,542</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399,708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391,644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Less than USD1,000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15"/>
        <w:gridCol w:w="3110"/>
      </w:tblGrid>
      <w:tr>
        <w:trPr/>
        <w:tc>
          <w:tcPr>
            <w:tcW w:w="215" w:type="dxa"/>
            <w:tcBorders/>
            <w:vAlign w:val="center"/>
          </w:tcPr>
          <w:p>
            <w:pPr>
              <w:pStyle w:val="TableContents"/>
              <w:bidi w:val="0"/>
              <w:spacing w:before="0" w:after="283"/>
              <w:jc w:val="left"/>
              <w:rPr>
                <w:b/>
              </w:rPr>
            </w:pPr>
            <w:r>
              <w:rPr>
                <w:b/>
              </w:rPr>
              <w:t>1.</w:t>
            </w:r>
          </w:p>
        </w:tc>
        <w:tc>
          <w:tcPr>
            <w:tcW w:w="3110" w:type="dxa"/>
            <w:tcBorders/>
            <w:vAlign w:val="center"/>
          </w:tcPr>
          <w:p>
            <w:pPr>
              <w:pStyle w:val="TableContents"/>
              <w:bidi w:val="0"/>
              <w:spacing w:before="0" w:after="283"/>
              <w:jc w:val="left"/>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Super Hi International Holding Ltd.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was incorporated in the Cayman Islands as an exempted company with limited liability on May 6, 2022 under the Companies Act. Cap 22 (Act 3 of 1961, as consolidated and revised) of the Cayman Islands. The principal place of business is at 1 Paya Lebar Link #09-04 PLQ 1 Paya Lebar Quarter Singapore 408533 and registered office at Cricket Square, Hutchins Drive, PO Box 2681, Grand Cayman, KY1-1111 in Cayman Islands. The ultimate controlling parties are Mr. ZHANG Yong and his spouse namely Ms. SHU Ping, together with ZY NP LTD and SP NP LTD (collectively the “</w:t>
      </w:r>
      <w:r>
        <w:rPr>
          <w:rFonts w:ascii="Times New Roman;Times;Serif" w:hAnsi="Times New Roman;Times;Serif"/>
          <w:b/>
          <w:i w:val="false"/>
          <w:caps w:val="false"/>
          <w:smallCaps w:val="false"/>
          <w:color w:val="231F20"/>
          <w:sz w:val="20"/>
        </w:rPr>
        <w:t>Controlling Shareholders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shares of the Company have been listed on The Stock Exchange of Hong Kong Limited on December 30, 2022 and on the NASDAQ on May 16, 2024 (United States Eastern Standard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is an investment holding company and its subsidiaries (together,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are principally engaged in the restaurants operation, delivery business, sales of condiment products and food ingredients located in overseas market outside Chinese Mainland, Hong Kong, Macau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Items included in the financial statements of each of the Group’s entities are recorded using the currency of the primary economic environment in which the entity operates (the “</w:t>
      </w:r>
      <w:r>
        <w:rPr>
          <w:rFonts w:ascii="Times New Roman;Times;Serif" w:hAnsi="Times New Roman;Times;Serif"/>
          <w:b/>
          <w:i w:val="false"/>
          <w:caps w:val="false"/>
          <w:smallCaps w:val="false"/>
          <w:color w:val="231F20"/>
          <w:sz w:val="20"/>
        </w:rPr>
        <w:t>functional currency</w:t>
      </w:r>
      <w:r>
        <w:rPr>
          <w:rFonts w:ascii="Times New Roman;Times;Serif" w:hAnsi="Times New Roman;Times;Serif"/>
          <w:b w:val="false"/>
          <w:i w:val="false"/>
          <w:caps w:val="false"/>
          <w:smallCaps w:val="false"/>
          <w:color w:val="231F20"/>
          <w:sz w:val="20"/>
        </w:rPr>
        <w:t>”). The functional currency of the Company is United States Dollar (“</w:t>
      </w:r>
      <w:r>
        <w:rPr>
          <w:rFonts w:ascii="Times New Roman;Times;Serif" w:hAnsi="Times New Roman;Times;Serif"/>
          <w:b/>
          <w:i w:val="false"/>
          <w:caps w:val="false"/>
          <w:smallCaps w:val="false"/>
          <w:color w:val="231F20"/>
          <w:sz w:val="20"/>
        </w:rPr>
        <w:t>USD</w:t>
      </w:r>
      <w:r>
        <w:rPr>
          <w:rFonts w:ascii="Times New Roman;Times;Serif" w:hAnsi="Times New Roman;Times;Serif"/>
          <w:b w:val="false"/>
          <w:i w:val="false"/>
          <w:caps w:val="false"/>
          <w:smallCaps w:val="false"/>
          <w:color w:val="231F20"/>
          <w:sz w:val="20"/>
        </w:rPr>
        <w:t>”), which is also the presentation currency of the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15"/>
        <w:gridCol w:w="9620"/>
      </w:tblGrid>
      <w:tr>
        <w:trPr/>
        <w:tc>
          <w:tcPr>
            <w:tcW w:w="215" w:type="dxa"/>
            <w:tcBorders/>
            <w:vAlign w:val="center"/>
          </w:tcPr>
          <w:p>
            <w:pPr>
              <w:pStyle w:val="TableContents"/>
              <w:bidi w:val="0"/>
              <w:spacing w:before="0" w:after="283"/>
              <w:jc w:val="left"/>
              <w:rPr>
                <w:b/>
              </w:rPr>
            </w:pPr>
            <w:r>
              <w:rPr>
                <w:b/>
              </w:rPr>
              <w:t>2.</w:t>
            </w:r>
          </w:p>
        </w:tc>
        <w:tc>
          <w:tcPr>
            <w:tcW w:w="9620" w:type="dxa"/>
            <w:tcBorders/>
            <w:vAlign w:val="center"/>
          </w:tcPr>
          <w:p>
            <w:pPr>
              <w:pStyle w:val="TableContents"/>
              <w:bidi w:val="0"/>
              <w:spacing w:before="0" w:after="283"/>
              <w:jc w:val="left"/>
              <w:rPr>
                <w:b/>
              </w:rPr>
            </w:pPr>
            <w:r>
              <w:rPr>
                <w:b/>
              </w:rPr>
              <w:t>BASIS OF PREPARATION AND MATERIAL ACCOUNTING POLICY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unaudited interim condensed consolidated financial statements have been prepared in accordance with IAS 34 </w:t>
      </w:r>
      <w:r>
        <w:rPr>
          <w:rFonts w:ascii="Times New Roman;Times;Serif" w:hAnsi="Times New Roman;Times;Serif"/>
          <w:b w:val="false"/>
          <w:i/>
          <w:caps w:val="false"/>
          <w:smallCaps w:val="false"/>
          <w:color w:val="231F20"/>
          <w:sz w:val="20"/>
        </w:rPr>
        <w:t xml:space="preserve">Interim Financial Reporting </w:t>
      </w:r>
      <w:r>
        <w:rPr>
          <w:rFonts w:ascii="Times New Roman;Times;Serif" w:hAnsi="Times New Roman;Times;Serif"/>
          <w:b w:val="false"/>
          <w:i w:val="false"/>
          <w:caps w:val="false"/>
          <w:smallCaps w:val="false"/>
          <w:color w:val="231F20"/>
          <w:sz w:val="20"/>
        </w:rPr>
        <w:t>issued by the International Accounting Standards Board (“</w:t>
      </w:r>
      <w:r>
        <w:rPr>
          <w:rFonts w:ascii="Times New Roman;Times;Serif" w:hAnsi="Times New Roman;Times;Serif"/>
          <w:b/>
          <w:i w:val="false"/>
          <w:caps w:val="false"/>
          <w:smallCaps w:val="false"/>
          <w:color w:val="231F20"/>
          <w:sz w:val="20"/>
        </w:rPr>
        <w:t>IASB</w:t>
      </w:r>
      <w:r>
        <w:rPr>
          <w:rFonts w:ascii="Times New Roman;Times;Serif" w:hAnsi="Times New Roman;Times;Serif"/>
          <w:b w:val="false"/>
          <w:i w:val="false"/>
          <w:caps w:val="false"/>
          <w:smallCaps w:val="false"/>
          <w:color w:val="231F20"/>
          <w:sz w:val="20"/>
        </w:rPr>
        <w:t>”) as well as the applicable disclosure requirements of the Rules Governing the Listing of Securities on The Stock Exchange of Hong Kong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unaudited interim condensed consolidated financial statements have been prepared on the historical cost basis except for certain financial instruments, which are measured at revalued amounts or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accounting policies and methods of computation used in the unaudited interim condensed consolidated financial statements for the six months ended June 30, 2026 are consistent with those presented in the Group’s annual consolidated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There are seasonal patterns for hot pot consumption. As such, the Group’s business and financial performance are subject to seasonal fluctuations, such as local holidays, school vacations, weather conditions and fluctuations in food prices, among others. As a result, the results of operations may fluctuate from year-to-year/ period-to-period and comparison of different periods may not be meaningful.</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15"/>
        <w:gridCol w:w="4460"/>
      </w:tblGrid>
      <w:tr>
        <w:trPr/>
        <w:tc>
          <w:tcPr>
            <w:tcW w:w="215" w:type="dxa"/>
            <w:tcBorders/>
            <w:vAlign w:val="center"/>
          </w:tcPr>
          <w:p>
            <w:pPr>
              <w:pStyle w:val="TableContents"/>
              <w:bidi w:val="0"/>
              <w:spacing w:before="0" w:after="283"/>
              <w:jc w:val="left"/>
              <w:rPr>
                <w:b/>
              </w:rPr>
            </w:pPr>
            <w:r>
              <w:rPr>
                <w:b/>
              </w:rPr>
              <w:t>3.</w:t>
            </w:r>
          </w:p>
        </w:tc>
        <w:tc>
          <w:tcPr>
            <w:tcW w:w="4460" w:type="dxa"/>
            <w:tcBorders/>
            <w:vAlign w:val="center"/>
          </w:tcPr>
          <w:p>
            <w:pPr>
              <w:pStyle w:val="TableContents"/>
              <w:bidi w:val="0"/>
              <w:spacing w:before="0" w:after="283"/>
              <w:jc w:val="left"/>
              <w:rPr>
                <w:b/>
              </w:rPr>
            </w:pPr>
            <w:r>
              <w:rPr>
                <w:b/>
              </w:rPr>
              <w:t>ADOPTION OF REVISED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Adoption of revised Standards – For the purpose of preparing and presenting the condensed consolidated financial statements for the six months ended June 30, 2026, the Group has consistently applied the accounting policies which conform with IFRS Accounting Standards, which are effective for the accounting periods beginning on or after January 1, 2026:</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3575"/>
        <w:gridCol w:w="6320"/>
      </w:tblGrid>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Amendments to IFRS 9 and IFRS 7</w:t>
            </w:r>
          </w:p>
        </w:tc>
        <w:tc>
          <w:tcPr>
            <w:tcW w:w="6320" w:type="dxa"/>
            <w:tcBorders/>
            <w:vAlign w:val="center"/>
          </w:tcPr>
          <w:p>
            <w:pPr>
              <w:pStyle w:val="TableContents"/>
              <w:bidi w:val="0"/>
              <w:spacing w:before="0" w:after="283"/>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Amendments to the Classification and Measurement of Financial Instruments</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6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Amendments to IFRS Accounting Standards</w:t>
            </w:r>
          </w:p>
        </w:tc>
        <w:tc>
          <w:tcPr>
            <w:tcW w:w="6320" w:type="dxa"/>
            <w:tcBorders/>
            <w:vAlign w:val="center"/>
          </w:tcPr>
          <w:p>
            <w:pPr>
              <w:pStyle w:val="TableContents"/>
              <w:bidi w:val="0"/>
              <w:spacing w:before="0" w:after="283"/>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Annual Improvements to IFRS Accounting Standards —Volume 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adoption of these revised IFRS Accounting Standards did not have any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New and revised IFRSs in issue but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the date of authorization of these condensed consolidated financial statements, the Group has not applied the following new and revised IFRSs that have been issued but are not yet effective:</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2900"/>
        <w:gridCol w:w="7175"/>
      </w:tblGrid>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Amendments to IFRS 10 and IAS 28</w:t>
            </w:r>
          </w:p>
        </w:tc>
        <w:tc>
          <w:tcPr>
            <w:tcW w:w="7175" w:type="dxa"/>
            <w:tcBorders/>
            <w:vAlign w:val="center"/>
          </w:tcPr>
          <w:p>
            <w:pPr>
              <w:pStyle w:val="TableContents"/>
              <w:bidi w:val="0"/>
              <w:spacing w:before="0" w:after="283"/>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Sales or Contribution of Assets between an Investor and its Associate or Joint Venture</w:t>
            </w:r>
            <w:r>
              <w:rPr>
                <w:rFonts w:ascii="Times New Roman;Times;Serif" w:hAnsi="Times New Roman;Times;Serif"/>
                <w:b w:val="false"/>
                <w:i/>
                <w:caps w:val="false"/>
                <w:smallCaps w:val="false"/>
                <w:color w:val="231F20"/>
                <w:position w:val="7"/>
                <w:sz w:val="16"/>
                <w:sz w:val="20"/>
              </w:rPr>
              <w:t>1</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IFRS 18</w:t>
            </w:r>
          </w:p>
        </w:tc>
        <w:tc>
          <w:tcPr>
            <w:tcW w:w="7175" w:type="dxa"/>
            <w:tcBorders/>
            <w:vAlign w:val="center"/>
          </w:tcPr>
          <w:p>
            <w:pPr>
              <w:pStyle w:val="TableContents"/>
              <w:bidi w:val="0"/>
              <w:spacing w:before="0" w:after="283"/>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Presentation and Disclosure in Financial Statements</w:t>
            </w:r>
            <w:r>
              <w:rPr>
                <w:rFonts w:ascii="Times New Roman;Times;Serif" w:hAnsi="Times New Roman;Times;Serif"/>
                <w:b w:val="false"/>
                <w:i/>
                <w:caps w:val="false"/>
                <w:smallCaps w:val="false"/>
                <w:color w:val="231F20"/>
                <w:position w:val="7"/>
                <w:sz w:val="16"/>
                <w:sz w:val="20"/>
              </w:rPr>
              <w:t>2</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Amendments to IAS 28</w:t>
            </w:r>
          </w:p>
        </w:tc>
        <w:tc>
          <w:tcPr>
            <w:tcW w:w="7175" w:type="dxa"/>
            <w:tcBorders/>
            <w:vAlign w:val="center"/>
          </w:tcPr>
          <w:p>
            <w:pPr>
              <w:pStyle w:val="TableContents"/>
              <w:bidi w:val="0"/>
              <w:spacing w:before="0" w:after="283"/>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Amendments to the Fair Value Option for Investments in Associates and Joint Ventures</w:t>
            </w:r>
            <w:r>
              <w:rPr>
                <w:rFonts w:ascii="Times New Roman;Times;Serif" w:hAnsi="Times New Roman;Times;Serif"/>
                <w:b w:val="false"/>
                <w:i/>
                <w:caps w:val="false"/>
                <w:smallCaps w:val="false"/>
                <w:color w:val="231F20"/>
                <w:position w:val="7"/>
                <w:sz w:val="16"/>
                <w:sz w:val="20"/>
              </w:rPr>
              <w:t>2</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IFRS 20</w:t>
            </w:r>
          </w:p>
        </w:tc>
        <w:tc>
          <w:tcPr>
            <w:tcW w:w="7175" w:type="dxa"/>
            <w:tcBorders/>
            <w:vAlign w:val="center"/>
          </w:tcPr>
          <w:p>
            <w:pPr>
              <w:pStyle w:val="TableContents"/>
              <w:bidi w:val="0"/>
              <w:spacing w:before="0" w:after="283"/>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Regulatory Assets and Regulatory Liabilities</w:t>
            </w:r>
            <w:r>
              <w:rPr>
                <w:rFonts w:ascii="Times New Roman;Times;Serif" w:hAnsi="Times New Roman;Times;Serif"/>
                <w:b w:val="false"/>
                <w:i/>
                <w:caps w:val="false"/>
                <w:smallCaps w:val="false"/>
                <w:color w:val="231F20"/>
                <w:position w:val="7"/>
                <w:sz w:val="16"/>
                <w:sz w:val="20"/>
              </w:rPr>
              <w:t>3</w:t>
            </w:r>
          </w:p>
        </w:tc>
      </w:tr>
    </w:tbl>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11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position w:val="7"/>
                <w:sz w:val="16"/>
                <w:sz w:val="20"/>
              </w:rPr>
            </w:pPr>
            <w:r>
              <w:rPr>
                <w:rFonts w:ascii="Times New Roman;Times;Serif" w:hAnsi="Times New Roman;Times;Serif"/>
                <w:b w:val="false"/>
                <w:i w:val="false"/>
                <w:caps w:val="false"/>
                <w:smallCaps w:val="false"/>
                <w:color w:val="231F20"/>
                <w:position w:val="7"/>
                <w:sz w:val="16"/>
                <w:sz w:val="20"/>
              </w:rPr>
              <w:t>1</w:t>
            </w:r>
          </w:p>
        </w:tc>
        <w:tc>
          <w:tcPr>
            <w:tcW w:w="81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 date is deferred indefinitely.</w:t>
            </w:r>
          </w:p>
        </w:tc>
      </w:tr>
      <w:tr>
        <w:trPr/>
        <w:tc>
          <w:tcPr>
            <w:tcW w:w="75" w:type="dxa"/>
            <w:tcBorders/>
            <w:vAlign w:val="center"/>
          </w:tcPr>
          <w:p>
            <w:pPr>
              <w:pStyle w:val="TableContents"/>
              <w:bidi w:val="0"/>
              <w:spacing w:before="0" w:after="283"/>
              <w:jc w:val="left"/>
              <w:rPr/>
            </w:pPr>
            <w:r>
              <w:rPr/>
              <w:t> </w:t>
            </w:r>
          </w:p>
        </w:tc>
        <w:tc>
          <w:tcPr>
            <w:tcW w:w="82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position w:val="7"/>
                <w:sz w:val="16"/>
                <w:sz w:val="20"/>
              </w:rPr>
            </w:pPr>
            <w:r>
              <w:rPr>
                <w:rFonts w:ascii="Times New Roman;Times;Serif" w:hAnsi="Times New Roman;Times;Serif"/>
                <w:b w:val="false"/>
                <w:i w:val="false"/>
                <w:caps w:val="false"/>
                <w:smallCaps w:val="false"/>
                <w:color w:val="231F20"/>
                <w:position w:val="7"/>
                <w:sz w:val="16"/>
                <w:sz w:val="20"/>
              </w:rPr>
              <w:t>2</w:t>
            </w:r>
          </w:p>
        </w:tc>
        <w:tc>
          <w:tcPr>
            <w:tcW w:w="81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 for annual periods beginning on or after January 1, 2027, with early application permitted.</w:t>
            </w:r>
          </w:p>
        </w:tc>
      </w:tr>
      <w:tr>
        <w:trPr/>
        <w:tc>
          <w:tcPr>
            <w:tcW w:w="75" w:type="dxa"/>
            <w:tcBorders/>
            <w:vAlign w:val="center"/>
          </w:tcPr>
          <w:p>
            <w:pPr>
              <w:pStyle w:val="TableContents"/>
              <w:bidi w:val="0"/>
              <w:spacing w:before="0" w:after="283"/>
              <w:jc w:val="left"/>
              <w:rPr/>
            </w:pPr>
            <w:r>
              <w:rPr/>
              <w:t> </w:t>
            </w:r>
          </w:p>
        </w:tc>
        <w:tc>
          <w:tcPr>
            <w:tcW w:w="82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position w:val="7"/>
                <w:sz w:val="16"/>
                <w:sz w:val="20"/>
              </w:rPr>
            </w:pPr>
            <w:r>
              <w:rPr>
                <w:rFonts w:ascii="Times New Roman;Times;Serif" w:hAnsi="Times New Roman;Times;Serif"/>
                <w:b w:val="false"/>
                <w:i w:val="false"/>
                <w:caps w:val="false"/>
                <w:smallCaps w:val="false"/>
                <w:color w:val="231F20"/>
                <w:position w:val="7"/>
                <w:sz w:val="16"/>
                <w:sz w:val="20"/>
              </w:rPr>
              <w:t>3</w:t>
            </w:r>
          </w:p>
        </w:tc>
        <w:tc>
          <w:tcPr>
            <w:tcW w:w="81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 for annual periods beginning on or after January 1, 2029, with early application permitted.</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215"/>
        <w:gridCol w:w="5705"/>
      </w:tblGrid>
      <w:tr>
        <w:trPr/>
        <w:tc>
          <w:tcPr>
            <w:tcW w:w="215" w:type="dxa"/>
            <w:tcBorders/>
            <w:vAlign w:val="center"/>
          </w:tcPr>
          <w:p>
            <w:pPr>
              <w:pStyle w:val="TableContents"/>
              <w:bidi w:val="0"/>
              <w:spacing w:before="0" w:after="283"/>
              <w:jc w:val="left"/>
              <w:rPr>
                <w:b/>
              </w:rPr>
            </w:pPr>
            <w:r>
              <w:rPr>
                <w:b/>
              </w:rPr>
              <w:t>4.</w:t>
            </w:r>
          </w:p>
        </w:tc>
        <w:tc>
          <w:tcPr>
            <w:tcW w:w="5705" w:type="dxa"/>
            <w:tcBorders/>
            <w:vAlign w:val="center"/>
          </w:tcPr>
          <w:p>
            <w:pPr>
              <w:pStyle w:val="TableContents"/>
              <w:bidi w:val="0"/>
              <w:spacing w:before="0" w:after="283"/>
              <w:jc w:val="left"/>
              <w:rPr>
                <w:b/>
              </w:rPr>
            </w:pPr>
            <w:r>
              <w:rPr>
                <w:b/>
              </w:rPr>
              <w:t>KEY SOURCES OF ESTIMATION UNCERTAINTY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critical judgements and key sources of estimation uncertainty made by management remain unchanged from the Group’s annual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b/>
              </w:rPr>
            </w:pPr>
            <w:r>
              <w:rPr>
                <w:b/>
              </w:rPr>
              <w:t>5.</w:t>
            </w:r>
          </w:p>
        </w:tc>
        <w:tc>
          <w:tcPr>
            <w:tcW w:w="1250" w:type="dxa"/>
            <w:tcBorders/>
            <w:vAlign w:val="center"/>
          </w:tcPr>
          <w:p>
            <w:pPr>
              <w:pStyle w:val="TableContents"/>
              <w:bidi w:val="0"/>
              <w:spacing w:before="0" w:after="283"/>
              <w:jc w:val="left"/>
              <w:rPr>
                <w:b/>
              </w:rPr>
            </w:pPr>
            <w:r>
              <w:rPr>
                <w:b/>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Group’s revenue represented the amount received and receivable, net of discounts and sales related taxes, from Haidilao restaurant operations, delivery business and others. Others mainly include sales of hot pot condiment products and food under Haidilao brand and secondary brands to local guests and retailers.</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615"/>
        <w:gridCol w:w="60"/>
        <w:gridCol w:w="60"/>
        <w:gridCol w:w="770"/>
        <w:gridCol w:w="60"/>
        <w:gridCol w:w="60"/>
        <w:gridCol w:w="60"/>
        <w:gridCol w:w="770"/>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Types of services or goods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Haidilao restaurant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377,468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Delivery business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14,823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7,738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27,927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11,527</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396,733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 of revenue recognition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point in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396,733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b/>
              </w:rPr>
            </w:pPr>
            <w:r>
              <w:rPr>
                <w:b/>
              </w:rPr>
              <w:t>6.</w:t>
            </w:r>
          </w:p>
        </w:tc>
        <w:tc>
          <w:tcPr>
            <w:tcW w:w="1985" w:type="dxa"/>
            <w:tcBorders/>
            <w:vAlign w:val="center"/>
          </w:tcPr>
          <w:p>
            <w:pPr>
              <w:pStyle w:val="TableContents"/>
              <w:bidi w:val="0"/>
              <w:spacing w:before="0" w:after="283"/>
              <w:jc w:val="left"/>
              <w:rPr>
                <w:b/>
              </w:rPr>
            </w:pPr>
            <w:r>
              <w:rPr>
                <w:b/>
              </w:rPr>
              <w:t>OTHER INCOME</w:t>
            </w:r>
          </w:p>
        </w:tc>
      </w:tr>
    </w:tbl>
    <w:p>
      <w:pPr>
        <w:pStyle w:val="TextBody"/>
        <w:bidi w:val="0"/>
        <w:spacing w:before="0" w:after="0"/>
        <w:ind w:left="0" w:right="0" w:hanging="0"/>
        <w:jc w:val="left"/>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1640"/>
        <w:gridCol w:w="60"/>
        <w:gridCol w:w="60"/>
        <w:gridCol w:w="770"/>
        <w:gridCol w:w="60"/>
        <w:gridCol w:w="60"/>
        <w:gridCol w:w="60"/>
        <w:gridCol w:w="77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w:t>
              <w:br/>
              <w:t>ended June 30,</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40" w:type="dxa"/>
            <w:tcBorders/>
            <w:shd w:fill="CCEEFF" w:val="clear"/>
            <w:vAlign w:val="center"/>
          </w:tcPr>
          <w:p>
            <w:pPr>
              <w:pStyle w:val="TableContents"/>
              <w:bidi w:val="0"/>
              <w:spacing w:before="0" w:after="283"/>
              <w:jc w:val="left"/>
              <w:rPr>
                <w:sz w:val="20"/>
              </w:rPr>
            </w:pPr>
            <w:r>
              <w:rPr>
                <w:sz w:val="20"/>
              </w:rPr>
              <w:t xml:space="preserve">Interest income on: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4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bank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rental deposits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Government grants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653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732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15"/>
        <w:gridCol w:w="2240"/>
      </w:tblGrid>
      <w:tr>
        <w:trPr/>
        <w:tc>
          <w:tcPr>
            <w:tcW w:w="215" w:type="dxa"/>
            <w:tcBorders/>
            <w:vAlign w:val="center"/>
          </w:tcPr>
          <w:p>
            <w:pPr>
              <w:pStyle w:val="TableContents"/>
              <w:bidi w:val="0"/>
              <w:spacing w:before="0" w:after="283"/>
              <w:jc w:val="left"/>
              <w:rPr>
                <w:b/>
              </w:rPr>
            </w:pPr>
            <w:r>
              <w:rPr>
                <w:b/>
              </w:rPr>
              <w:t>7.</w:t>
            </w:r>
          </w:p>
        </w:tc>
        <w:tc>
          <w:tcPr>
            <w:tcW w:w="2240" w:type="dxa"/>
            <w:tcBorders/>
            <w:vAlign w:val="center"/>
          </w:tcPr>
          <w:p>
            <w:pPr>
              <w:pStyle w:val="TableContents"/>
              <w:bidi w:val="0"/>
              <w:spacing w:before="0" w:after="283"/>
              <w:jc w:val="left"/>
              <w:rPr>
                <w:b/>
              </w:rPr>
            </w:pPr>
            <w:r>
              <w:rPr>
                <w:b/>
              </w:rPr>
              <w:t>OTHER EXPENSES</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645"/>
        <w:gridCol w:w="60"/>
        <w:gridCol w:w="70"/>
        <w:gridCol w:w="699"/>
        <w:gridCol w:w="66"/>
        <w:gridCol w:w="66"/>
        <w:gridCol w:w="70"/>
        <w:gridCol w:w="699"/>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6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Administrative expenses </w:t>
            </w:r>
            <w:r>
              <w:rPr>
                <w:rFonts w:ascii="Times New Roman;Times;Serif" w:hAnsi="Times New Roman;Times;Serif"/>
                <w:b w:val="false"/>
                <w:i/>
                <w:caps w:val="false"/>
                <w:smallCaps w:val="false"/>
                <w:color w:val="231F20"/>
                <w:sz w:val="20"/>
              </w:rPr>
              <w:t>(Note)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8,866</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9,132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Consulting services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4,076</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4,641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Bank charges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7,262</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6,560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Daily maintenance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4,334</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3,924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Outsourcing service fee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13,324</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12,243</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Business development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6,258</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2,938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Storage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1,823</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1,291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45,943</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3"/>
        <w:gridCol w:w="9687"/>
      </w:tblGrid>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w:t>
            </w:r>
          </w:p>
        </w:tc>
        <w:tc>
          <w:tcPr>
            <w:tcW w:w="968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Administrative expenses mainly include expenses incurred on employee activities, commercial insurance, conference and other miscellaneous expenses, which individually are not material to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15"/>
        <w:gridCol w:w="3605"/>
      </w:tblGrid>
      <w:tr>
        <w:trPr/>
        <w:tc>
          <w:tcPr>
            <w:tcW w:w="215" w:type="dxa"/>
            <w:tcBorders/>
            <w:vAlign w:val="center"/>
          </w:tcPr>
          <w:p>
            <w:pPr>
              <w:pStyle w:val="TableContents"/>
              <w:bidi w:val="0"/>
              <w:spacing w:before="0" w:after="283"/>
              <w:jc w:val="left"/>
              <w:rPr>
                <w:b/>
              </w:rPr>
            </w:pPr>
            <w:r>
              <w:rPr>
                <w:b/>
              </w:rPr>
              <w:t>8.</w:t>
            </w:r>
          </w:p>
        </w:tc>
        <w:tc>
          <w:tcPr>
            <w:tcW w:w="3605" w:type="dxa"/>
            <w:tcBorders/>
            <w:vAlign w:val="center"/>
          </w:tcPr>
          <w:p>
            <w:pPr>
              <w:pStyle w:val="TableContents"/>
              <w:bidi w:val="0"/>
              <w:spacing w:before="0" w:after="283"/>
              <w:jc w:val="left"/>
              <w:rPr>
                <w:b/>
              </w:rPr>
            </w:pPr>
            <w:r>
              <w:rPr>
                <w:b/>
              </w:rPr>
              <w:t>OTHER (LOSSES) GAINS – NET</w:t>
            </w:r>
          </w:p>
        </w:tc>
      </w:tr>
    </w:tbl>
    <w:p>
      <w:pPr>
        <w:pStyle w:val="TextBody"/>
        <w:bidi w:val="0"/>
        <w:spacing w:before="0" w:after="0"/>
        <w:ind w:left="0" w:right="0" w:hanging="0"/>
        <w:jc w:val="left"/>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6170"/>
        <w:gridCol w:w="60"/>
        <w:gridCol w:w="64"/>
        <w:gridCol w:w="705"/>
        <w:gridCol w:w="84"/>
        <w:gridCol w:w="63"/>
        <w:gridCol w:w="70"/>
        <w:gridCol w:w="699"/>
        <w:gridCol w:w="9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w:t>
              <w:br/>
              <w:t>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(impairment loss) reversal of impairment recognized in respect of</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w:t>
            </w:r>
            <w:r>
              <w:rPr>
                <w:sz w:val="20"/>
              </w:rPr>
              <w:t xml:space="preserve">property, plant and equipment </w:t>
            </w:r>
            <w:r>
              <w:rPr>
                <w:i/>
                <w:sz w:val="20"/>
              </w:rPr>
              <w:t>(Note 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(853</w:t>
            </w:r>
          </w:p>
        </w:tc>
        <w:tc>
          <w:tcPr>
            <w:tcW w:w="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w:t>
            </w:r>
            <w:r>
              <w:rPr>
                <w:rFonts w:ascii="Times New Roman;Times;Serif" w:hAnsi="Times New Roman;Times;Serif"/>
                <w:b w:val="false"/>
                <w:i w:val="false"/>
                <w:caps w:val="false"/>
                <w:smallCaps w:val="false"/>
                <w:color w:val="231F20"/>
                <w:sz w:val="20"/>
              </w:rPr>
              <w:t xml:space="preserve">right-of-use assets </w:t>
            </w:r>
            <w:r>
              <w:rPr>
                <w:rFonts w:ascii="Times New Roman;Times;Serif" w:hAnsi="Times New Roman;Times;Serif"/>
                <w:b w:val="false"/>
                <w:i/>
                <w:caps w:val="false"/>
                <w:smallCaps w:val="false"/>
                <w:color w:val="231F20"/>
                <w:sz w:val="20"/>
              </w:rPr>
              <w:t>(Note 13)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(563</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(1,416</w:t>
            </w:r>
          </w:p>
        </w:tc>
        <w:tc>
          <w:tcPr>
            <w:tcW w:w="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plant and equipment and termination of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(702</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gain arising on financial assets at fair value through profit or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624</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927</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foreign exchange (loss) gain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(8,630</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23,761</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(829</w:t>
            </w:r>
          </w:p>
        </w:tc>
        <w:tc>
          <w:tcPr>
            <w:tcW w:w="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2"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(10,953</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2"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1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FINANCE COSTS</w:t>
            </w:r>
          </w:p>
        </w:tc>
      </w:tr>
    </w:tbl>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3590"/>
        <w:gridCol w:w="60"/>
        <w:gridCol w:w="84"/>
        <w:gridCol w:w="685"/>
        <w:gridCol w:w="78"/>
        <w:gridCol w:w="78"/>
        <w:gridCol w:w="84"/>
        <w:gridCol w:w="685"/>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w:t>
              <w:br/>
              <w:t>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7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Interests on lease liabilities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5,849</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5,179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Interests charge on unwinding of provisions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277</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90"/>
        <w:gridCol w:w="2225"/>
        <w:gridCol w:w="60"/>
        <w:gridCol w:w="60"/>
        <w:gridCol w:w="60"/>
        <w:gridCol w:w="7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TAX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3185"/>
        <w:gridCol w:w="60"/>
        <w:gridCol w:w="60"/>
        <w:gridCol w:w="770"/>
        <w:gridCol w:w="80"/>
        <w:gridCol w:w="60"/>
        <w:gridCol w:w="60"/>
        <w:gridCol w:w="770"/>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w:t>
              <w:br/>
              <w:t>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current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under provision for tax in prior years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Deferred tax </w:t>
            </w:r>
            <w:r>
              <w:rPr>
                <w:rFonts w:ascii="Times New Roman;Times;Serif" w:hAnsi="Times New Roman;Times;Serif"/>
                <w:b w:val="false"/>
                <w:i/>
                <w:caps w:val="false"/>
                <w:smallCaps w:val="false"/>
                <w:color w:val="231F20"/>
                <w:sz w:val="20"/>
              </w:rPr>
              <w:t>(Note 14)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as an exempted company and as such is not subject to Cayman Islands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the Group is calculated at the rates prevailing in the relevant jurisdictions at 9% to 33% on the estimated assessable profits for the six months ended June 30, 2026 (2025: 9% to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45"/>
        <w:gridCol w:w="9148"/>
      </w:tblGrid>
      <w:tr>
        <w:trPr/>
        <w:tc>
          <w:tcPr>
            <w:tcW w:w="1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b/>
              </w:rPr>
            </w:pPr>
            <w:r>
              <w:rPr>
                <w:b/>
              </w:rPr>
              <w:t>11.</w:t>
            </w:r>
          </w:p>
        </w:tc>
        <w:tc>
          <w:tcPr>
            <w:tcW w:w="9148" w:type="dxa"/>
            <w:tcBorders/>
            <w:vAlign w:val="center"/>
          </w:tcPr>
          <w:p>
            <w:pPr>
              <w:pStyle w:val="TableContents"/>
              <w:bidi w:val="0"/>
              <w:spacing w:before="0" w:after="283"/>
              <w:jc w:val="left"/>
              <w:rPr>
                <w:b/>
              </w:rPr>
            </w:pPr>
            <w:r>
              <w:rPr>
                <w:b/>
              </w:rPr>
              <w:t>PROFIT FOR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profit during the six months period has been arrived at after charging:</w:t>
      </w:r>
    </w:p>
    <w:p>
      <w:pPr>
        <w:pStyle w:val="TextBody"/>
        <w:bidi w:val="0"/>
        <w:spacing w:before="0" w:after="0"/>
        <w:ind w:left="0" w:right="0" w:hanging="0"/>
        <w:jc w:val="left"/>
        <w:rPr>
          <w:caps w:val="false"/>
          <w:smallCaps w:val="false"/>
        </w:rPr>
      </w:pPr>
      <w:r>
        <w:rPr>
          <w:caps w:val="false"/>
          <w:smallCaps w:val="false"/>
        </w:rPr>
        <w:t> </w:t>
      </w:r>
    </w:p>
    <w:tbl>
      <w:tblPr>
        <w:tblW w:w="5593" w:type="dxa"/>
        <w:jc w:val="left"/>
        <w:tblInd w:w="0" w:type="dxa"/>
        <w:tblLayout w:type="fixed"/>
        <w:tblCellMar>
          <w:top w:w="0" w:type="dxa"/>
          <w:left w:w="0" w:type="dxa"/>
          <w:bottom w:w="0" w:type="dxa"/>
          <w:right w:w="0" w:type="dxa"/>
        </w:tblCellMar>
      </w:tblPr>
      <w:tblGrid>
        <w:gridCol w:w="3800"/>
        <w:gridCol w:w="60"/>
        <w:gridCol w:w="61"/>
        <w:gridCol w:w="708"/>
        <w:gridCol w:w="60"/>
        <w:gridCol w:w="60"/>
        <w:gridCol w:w="61"/>
        <w:gridCol w:w="708"/>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of property, plant and equipment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20,143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20,656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of right-of-use assets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21,500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18,965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rentals: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Premises and equipment (short-term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w:t>
            </w:r>
            <w:r>
              <w:rPr>
                <w:rFonts w:ascii="Times New Roman;Times;Serif" w:hAnsi="Times New Roman;Times;Serif"/>
                <w:b w:val="false"/>
                <w:i w:val="false"/>
                <w:caps w:val="false"/>
                <w:smallCaps w:val="false"/>
                <w:color w:val="231F20"/>
                <w:sz w:val="20"/>
              </w:rPr>
              <w:t xml:space="preserve">Variable lease payments </w:t>
            </w:r>
            <w:r>
              <w:rPr>
                <w:rFonts w:ascii="Times New Roman;Times;Serif" w:hAnsi="Times New Roman;Times;Serif"/>
                <w:b w:val="false"/>
                <w:i/>
                <w:caps w:val="false"/>
                <w:smallCaps w:val="false"/>
                <w:color w:val="231F20"/>
                <w:sz w:val="20"/>
              </w:rPr>
              <w:t>(Note)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2,012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1,910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rental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rentals and related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emoluments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staff cost: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other allowances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135,409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Employee welfare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6,380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5,428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Retirement benefit contributions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7,398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6,563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staff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151,637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Note: </w:t>
      </w:r>
      <w:r>
        <w:rPr>
          <w:rFonts w:ascii="Times New Roman;Times;Serif" w:hAnsi="Times New Roman;Times;Serif"/>
          <w:b w:val="false"/>
          <w:i w:val="false"/>
          <w:caps w:val="false"/>
          <w:smallCaps w:val="false"/>
          <w:color w:val="231F20"/>
          <w:sz w:val="20"/>
        </w:rPr>
        <w:t>The variable lease payments refers to the property rentals based on pre-determined percentages of revenue less minimum rentals of the respective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1041"/>
        <w:gridCol w:w="9041"/>
      </w:tblGrid>
      <w:tr>
        <w:trPr/>
        <w:tc>
          <w:tcPr>
            <w:tcW w:w="12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b/>
              </w:rPr>
            </w:pPr>
            <w:r>
              <w:rPr>
                <w:b/>
              </w:rPr>
              <w:t>12.</w:t>
            </w:r>
          </w:p>
        </w:tc>
        <w:tc>
          <w:tcPr>
            <w:tcW w:w="9041" w:type="dxa"/>
            <w:tcBorders/>
            <w:vAlign w:val="center"/>
          </w:tcPr>
          <w:p>
            <w:pPr>
              <w:pStyle w:val="TableContents"/>
              <w:bidi w:val="0"/>
              <w:spacing w:before="0" w:after="283"/>
              <w:jc w:val="left"/>
              <w:rPr>
                <w:b/>
              </w:rPr>
            </w:pPr>
            <w:r>
              <w:rPr>
                <w:b/>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calculation of the basic earnings per share attributable to the owners of the Company is based on the following data:</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05"/>
        <w:gridCol w:w="60"/>
        <w:gridCol w:w="82"/>
        <w:gridCol w:w="669"/>
        <w:gridCol w:w="71"/>
        <w:gridCol w:w="71"/>
        <w:gridCol w:w="71"/>
        <w:gridCol w:w="698"/>
        <w:gridCol w:w="78"/>
      </w:tblGrid>
      <w:tr>
        <w:trPr/>
        <w:tc>
          <w:tcPr>
            <w:tcW w:w="8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78" w:type="dxa"/>
            <w:tcBorders/>
            <w:vAlign w:val="center"/>
          </w:tcPr>
          <w:p>
            <w:pPr>
              <w:pStyle w:val="TableContents"/>
              <w:bidi w:val="0"/>
              <w:spacing w:before="0" w:after="283"/>
              <w:jc w:val="left"/>
              <w:rPr/>
            </w:pPr>
            <w:r>
              <w:rPr/>
              <w:t> </w:t>
            </w:r>
          </w:p>
        </w:tc>
      </w:tr>
      <w:tr>
        <w:trPr/>
        <w:tc>
          <w:tcPr>
            <w:tcW w:w="8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8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1"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7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8"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8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Profit for the period attributable to the owners of the Company for the purpose of calculating earnings per share</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2,191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28,352</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45" w:type="dxa"/>
        <w:jc w:val="left"/>
        <w:tblInd w:w="0" w:type="dxa"/>
        <w:tblLayout w:type="fixed"/>
        <w:tblCellMar>
          <w:top w:w="0" w:type="dxa"/>
          <w:left w:w="0" w:type="dxa"/>
          <w:bottom w:w="0" w:type="dxa"/>
          <w:right w:w="0" w:type="dxa"/>
        </w:tblCellMar>
      </w:tblPr>
      <w:tblGrid>
        <w:gridCol w:w="7580"/>
        <w:gridCol w:w="60"/>
        <w:gridCol w:w="60"/>
        <w:gridCol w:w="695"/>
        <w:gridCol w:w="60"/>
        <w:gridCol w:w="60"/>
        <w:gridCol w:w="60"/>
        <w:gridCol w:w="695"/>
        <w:gridCol w:w="75"/>
      </w:tblGrid>
      <w:tr>
        <w:trPr/>
        <w:tc>
          <w:tcPr>
            <w:tcW w:w="7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7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5" w:type="dxa"/>
            <w:gridSpan w:val="2"/>
            <w:tcBorders/>
            <w:vAlign w:val="center"/>
          </w:tcPr>
          <w:p>
            <w:pPr>
              <w:pStyle w:val="TableContents"/>
              <w:bidi w:val="0"/>
              <w:spacing w:before="0" w:after="283"/>
              <w:jc w:val="center"/>
              <w:rPr>
                <w:caps w:val="false"/>
                <w:smallCaps w:val="false"/>
                <w:color w:val="231F20"/>
              </w:rPr>
            </w:pPr>
            <w:r>
              <w:rPr>
                <w:caps w:val="false"/>
                <w:smallCaps w:val="false"/>
                <w:color w:val="231F20"/>
              </w:rPr>
              <w:t>’</w:t>
            </w:r>
            <w:r>
              <w:rPr>
                <w:rFonts w:ascii="Times New Roman;Times;Serif" w:hAnsi="Times New Roman;Times;Serif"/>
                <w:b/>
                <w:i/>
                <w:caps w:val="false"/>
                <w:smallCaps w:val="false"/>
                <w:color w:val="231F20"/>
                <w:sz w:val="20"/>
              </w:rPr>
              <w:t>000</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5" w:type="dxa"/>
            <w:gridSpan w:val="2"/>
            <w:tcBorders/>
            <w:vAlign w:val="center"/>
          </w:tcPr>
          <w:p>
            <w:pPr>
              <w:pStyle w:val="TableContents"/>
              <w:bidi w:val="0"/>
              <w:spacing w:before="0" w:after="283"/>
              <w:jc w:val="center"/>
              <w:rPr>
                <w:caps w:val="false"/>
                <w:smallCaps w:val="false"/>
                <w:color w:val="231F20"/>
              </w:rPr>
            </w:pPr>
            <w:r>
              <w:rPr>
                <w:caps w:val="false"/>
                <w:smallCaps w:val="false"/>
                <w:color w:val="231F20"/>
              </w:rPr>
              <w:t>’</w:t>
            </w:r>
            <w:r>
              <w:rPr>
                <w:rFonts w:ascii="Times New Roman;Times;Serif" w:hAnsi="Times New Roman;Times;Serif"/>
                <w:b/>
                <w:i/>
                <w:caps w:val="false"/>
                <w:smallCaps w:val="false"/>
                <w:color w:val="231F20"/>
                <w:sz w:val="20"/>
              </w:rPr>
              <w:t>000</w:t>
            </w:r>
          </w:p>
        </w:tc>
        <w:tc>
          <w:tcPr>
            <w:tcW w:w="75"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for the purpose of calculating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588,366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588,366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Note: </w:t>
      </w:r>
      <w:r>
        <w:rPr>
          <w:rFonts w:ascii="Times New Roman;Times;Serif" w:hAnsi="Times New Roman;Times;Serif"/>
          <w:b w:val="false"/>
          <w:i w:val="false"/>
          <w:caps w:val="false"/>
          <w:smallCaps w:val="false"/>
          <w:color w:val="231F20"/>
          <w:sz w:val="20"/>
        </w:rPr>
        <w:t>The weighted average number of ordinary shares for the purposes of basic earnings per share has been determined on the basis that the number of shares issued during the period excluded the 61,933,000 shares held under share award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diluted earnings per share for the six months ended June 30, 2026 and 2025 was presented as there were no potential ordinary shares in issue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96"/>
        <w:gridCol w:w="9763"/>
      </w:tblGrid>
      <w:tr>
        <w:trPr/>
        <w:tc>
          <w:tcPr>
            <w:tcW w:w="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b/>
              </w:rPr>
            </w:pPr>
            <w:r>
              <w:rPr>
                <w:b/>
              </w:rPr>
              <w:t>13.</w:t>
            </w:r>
          </w:p>
        </w:tc>
        <w:tc>
          <w:tcPr>
            <w:tcW w:w="9763" w:type="dxa"/>
            <w:tcBorders/>
            <w:vAlign w:val="center"/>
          </w:tcPr>
          <w:p>
            <w:pPr>
              <w:pStyle w:val="TableContents"/>
              <w:bidi w:val="0"/>
              <w:spacing w:before="0" w:after="283"/>
              <w:jc w:val="left"/>
              <w:rPr>
                <w:b/>
              </w:rPr>
            </w:pPr>
            <w:r>
              <w:rPr>
                <w:b/>
              </w:rPr>
              <w:t>PROPERTY, PLANT AND EQUIPMENT AND RIGHT-OF-USE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Group paid for additions to property, plant and equipment of USD34,439,000 (six months ended June 30, 2025: USD21,604,000)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Group disposed of certain plant and equipment with an aggregate carrying amount of USD692,000 (six months ended June 30, 2025: USD590,000) for cash proceeds of USD47,000 (six months ended June 30, 2025: USD142,000), resulting in a loss of USD645,000 (six months ended June 30, 2025: USD448,000).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Group entered into several new lease agreements for the use of restaurant operations with lease terms ranging from 13 months to 10 years (six months ended June 30, 2025: 24 months to 11 years). The Group is required to make fixed-term payments with predetermined annual incremental rental adjustments. On the lease commencement, the Group recognized right-of-use assets of USD18,525,000 (six months ended June 30, 2025: USD10,726,000) and lease liabilities of USD16,954,000 (six months ended June 30, 2025: USD10,113,000).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certain leases were terminated by the Group, with right-of-use assets of USD1,009,000 (six months ended June 30, 2025: USD429,000) and lease liabilities of USD1,012,000 (six months ended June 30, 2025: USD462,000) derecognized, resulting in a gain of USD3,000 (six months ended June 30, 2025: a gain of USD33,000), which was recognized in other (losses) gains,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Impairment assessment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plant and equipment and right-of-use assets are reviewed for impairment whenever events or changes in circumstances indicate that the carrying amount of an asset may not be recoverable. At the end of each reporting period, management also assessed if there were indications for reversal of impairment on certain property, plant and equipment and right-of-use assets. For restaurant assets, impairment is tested at the individual restaurant level as a cash generating unit (CGU).</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recoverable amounts of CGUs have been determined based on value in use calculation. That calculation used discounted cash flow projections based on financial budgets approved by the management of the Group covering the remaining lease periods which are between 1 to 5 years with pre-tax discount rates ranging from 8.1% to 17.5% (2025: 7.7% to 18.8%) per annum, which vary among restaurants operated in different countries. Cash flows beyond the 5-year period for those CGUs with remaining lease terms more than 5 years are extrapolated using a steady 0% to 3% growth rate (2025: 0% to 3%) per annum. Other key assumptions for the value in use calculations related to the estimation of cash inflows/outflows included revenue growth rate and average percentage of costs and operating expenses of revenue for the forecast periods, which are based on the CGUs’ past performance and the management’s expectations for the market development.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Based on the results of the assessments, the management of the Group determined that the recoverable amounts of certain CGUs are lower than the carrying amounts because of continuing weak performance due to competition and market conditions. The impairment loss has been allocated to each category of property, plant and equipment and right-of-use assets such that the carrying amount of each category of asset is not reduced below the highest of its fair value less cost of disposal, its value in use and zero. During the period, some restaurants have achieved significant improvement in their operations because of the optimization of internal management and general improvement of market conditions. Accordingly, management of the Group determined that the recoverable amounts of certain CGUs are higher than the carrying amounts. The reversal of impairment loss for the CGUs have been allocated to each category of property, plant and equipment and right-of-use assets such that the carrying amount of each category of asset is not increased above its recoverable amount and the carrying amount that would have been determined had no impairment loss been recognized for the asset in prior periods.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Based on the value in use calculation and the allocation, gross impairment loss of USD2,407,000 (six months ended June 30, 2025: USD962,000), and gross reversal of USD1,554,000 (six months ended June 30, 2025: USD1,044,000) has been recognized against the carrying amount of property, plant and equipment for the six months ended June 30, 2026 and 2025, respectively.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Based on the value in use calculation and the allocation, gross impairment loss of USD572,000 (six months ended June 30, 2025: USD931,000) and gross reversal of USD9,000 (six months ended June 30, 2025: USD467,000) has been recognized against the carrying amount of right-of-use assets for the six months ended June 30, 2026 and 2025, respectively.</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649"/>
        <w:gridCol w:w="9479"/>
      </w:tblGrid>
      <w:tr>
        <w:trPr/>
        <w:tc>
          <w:tcPr>
            <w:tcW w:w="7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b/>
              </w:rPr>
            </w:pPr>
            <w:r>
              <w:rPr>
                <w:b/>
              </w:rPr>
              <w:t>14.</w:t>
            </w:r>
          </w:p>
        </w:tc>
        <w:tc>
          <w:tcPr>
            <w:tcW w:w="9479" w:type="dxa"/>
            <w:tcBorders/>
            <w:vAlign w:val="center"/>
          </w:tcPr>
          <w:p>
            <w:pPr>
              <w:pStyle w:val="TableContents"/>
              <w:bidi w:val="0"/>
              <w:spacing w:before="0" w:after="283"/>
              <w:jc w:val="left"/>
              <w:rPr>
                <w:b/>
              </w:rPr>
            </w:pPr>
            <w:r>
              <w:rPr>
                <w:b/>
              </w:rPr>
              <w:t>DEFERRED TAX ASSETS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the purpose of presentation in the consolidated statements of financial position, certain deferred tax assets and liabilities have been offset. The following is the analysis of the deferred tax balances for the financial reporting purpose:</w:t>
      </w:r>
    </w:p>
    <w:p>
      <w:pPr>
        <w:pStyle w:val="TextBody"/>
        <w:bidi w:val="0"/>
        <w:spacing w:before="0" w:after="0"/>
        <w:ind w:left="0" w:right="0" w:hanging="0"/>
        <w:jc w:val="left"/>
        <w:rPr>
          <w:caps w:val="false"/>
          <w:smallCaps w:val="false"/>
        </w:rPr>
      </w:pPr>
      <w:r>
        <w:rPr>
          <w:caps w:val="false"/>
          <w:smallCaps w:val="false"/>
        </w:rPr>
        <w:t> </w:t>
      </w:r>
    </w:p>
    <w:tbl>
      <w:tblPr>
        <w:tblW w:w="5003" w:type="dxa"/>
        <w:jc w:val="left"/>
        <w:tblInd w:w="0" w:type="dxa"/>
        <w:tblLayout w:type="fixed"/>
        <w:tblCellMar>
          <w:top w:w="0" w:type="dxa"/>
          <w:left w:w="0" w:type="dxa"/>
          <w:bottom w:w="0" w:type="dxa"/>
          <w:right w:w="0" w:type="dxa"/>
        </w:tblCellMar>
      </w:tblPr>
      <w:tblGrid>
        <w:gridCol w:w="1850"/>
        <w:gridCol w:w="60"/>
        <w:gridCol w:w="64"/>
        <w:gridCol w:w="705"/>
        <w:gridCol w:w="80"/>
        <w:gridCol w:w="60"/>
        <w:gridCol w:w="175"/>
        <w:gridCol w:w="1914"/>
        <w:gridCol w:w="95"/>
      </w:tblGrid>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br/>
              <w:t>June 30,</w:t>
              <w:b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8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As at December 31, 2025 </w:t>
            </w:r>
          </w:p>
        </w:tc>
        <w:tc>
          <w:tcPr>
            <w:tcW w:w="95"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vAlign w:val="center"/>
          </w:tcPr>
          <w:p>
            <w:pPr>
              <w:pStyle w:val="TableContents"/>
              <w:bidi w:val="0"/>
              <w:spacing w:before="0" w:after="283"/>
              <w:jc w:val="center"/>
              <w:rPr>
                <w:b/>
                <w:i/>
                <w:sz w:val="20"/>
              </w:rPr>
            </w:pPr>
            <w:r>
              <w:rPr>
                <w:b/>
                <w:i/>
                <w:sz w:val="20"/>
              </w:rPr>
              <w:t>USD’000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89" w:type="dxa"/>
            <w:gridSpan w:val="2"/>
            <w:tcBorders/>
            <w:vAlign w:val="center"/>
          </w:tcPr>
          <w:p>
            <w:pPr>
              <w:pStyle w:val="TableContents"/>
              <w:bidi w:val="0"/>
              <w:spacing w:before="0" w:after="283"/>
              <w:jc w:val="center"/>
              <w:rPr/>
            </w:pPr>
            <w:r>
              <w:rPr/>
              <w:t> </w:t>
            </w:r>
            <w:r>
              <w:rPr>
                <w:i/>
                <w:sz w:val="20"/>
              </w:rPr>
              <w:t>USD’000</w:t>
            </w:r>
          </w:p>
        </w:tc>
        <w:tc>
          <w:tcPr>
            <w:tcW w:w="95" w:type="dxa"/>
            <w:tcBorders/>
            <w:vAlign w:val="center"/>
          </w:tcPr>
          <w:p>
            <w:pPr>
              <w:pStyle w:val="TableContents"/>
              <w:bidi w:val="0"/>
              <w:spacing w:before="0" w:after="283"/>
              <w:jc w:val="center"/>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60,687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57,903</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(62,241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(59,362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1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(1,459</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are the major deferred tax assets and liabilities recognized and movements thereon during the period:</w:t>
      </w:r>
    </w:p>
    <w:p>
      <w:pPr>
        <w:pStyle w:val="TextBody"/>
        <w:bidi w:val="0"/>
        <w:spacing w:before="0" w:after="0"/>
        <w:ind w:left="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410"/>
        <w:gridCol w:w="23"/>
        <w:gridCol w:w="43"/>
        <w:gridCol w:w="1042"/>
        <w:gridCol w:w="80"/>
        <w:gridCol w:w="23"/>
        <w:gridCol w:w="38"/>
        <w:gridCol w:w="1106"/>
        <w:gridCol w:w="80"/>
        <w:gridCol w:w="23"/>
        <w:gridCol w:w="30"/>
        <w:gridCol w:w="799"/>
        <w:gridCol w:w="80"/>
        <w:gridCol w:w="23"/>
        <w:gridCol w:w="37"/>
        <w:gridCol w:w="792"/>
        <w:gridCol w:w="80"/>
        <w:gridCol w:w="23"/>
        <w:gridCol w:w="32"/>
        <w:gridCol w:w="797"/>
        <w:gridCol w:w="80"/>
        <w:gridCol w:w="23"/>
        <w:gridCol w:w="30"/>
        <w:gridCol w:w="799"/>
        <w:gridCol w:w="95"/>
      </w:tblGrid>
      <w:tr>
        <w:trPr/>
        <w:tc>
          <w:tcPr>
            <w:tcW w:w="34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Accelerated</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rPr>
              <w:br/>
              <w:t xml:space="preserve">tax </w:t>
              <w:br/>
              <w:t>depreciation</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Right-of-use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assets</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Lease </w:t>
              <w:br/>
              <w:t>liabilities</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Tax </w:t>
              <w:br/>
              <w:t>losses</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Others</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caps w:val="false"/>
                <w:smallCaps w:val="false"/>
                <w:sz w:val="20"/>
              </w:rPr>
              <w:t>USD’000</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44"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caps w:val="false"/>
                <w:smallCaps w:val="false"/>
                <w:sz w:val="20"/>
              </w:rPr>
              <w:t>USD’000</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caps w:val="false"/>
                <w:smallCaps w:val="false"/>
                <w:sz w:val="20"/>
              </w:rPr>
              <w:t>USD’000</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caps w:val="false"/>
                <w:smallCaps w:val="false"/>
                <w:sz w:val="20"/>
              </w:rPr>
              <w:t>USD’000</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caps w:val="false"/>
                <w:smallCaps w:val="false"/>
                <w:sz w:val="20"/>
              </w:rPr>
              <w:t>USD’000</w:t>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caps w:val="false"/>
                <w:smallCaps w:val="false"/>
                <w:sz w:val="20"/>
              </w:rPr>
              <w:t>USD’000</w:t>
            </w:r>
          </w:p>
        </w:tc>
        <w:tc>
          <w:tcPr>
            <w:tcW w:w="95"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January 1,2025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(47,852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48,117</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1,173</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(3,705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Credit (charge) to profit or loss (Note 10)</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2"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Exchange adjustments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1,702</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187</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(49,298)</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49,016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2"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(3,393)</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w:t>
            </w:r>
          </w:p>
        </w:tc>
        <w:tc>
          <w:tcPr>
            <w:tcW w:w="95" w:type="dxa"/>
            <w:tcBorders/>
            <w:shd w:fill="FFFFFF" w:val="clear"/>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Credit (charge) to profit or loss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1,184</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4,583</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233</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2,415</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Exchange adjustments</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486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2"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133</w:t>
            </w:r>
          </w:p>
        </w:tc>
        <w:tc>
          <w:tcPr>
            <w:tcW w:w="95" w:type="dxa"/>
            <w:tcBorders/>
            <w:shd w:fill="FFFFFF" w:val="clear"/>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53,178</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(Charge) credit to profit or loss (Note 10)</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3,091</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2"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FFFFFF" w:val="clear"/>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Exchange adjustments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605</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41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 June 30, 2026</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55,723</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2"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assets have not been recognized in respect of the following items: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3920"/>
        <w:gridCol w:w="60"/>
        <w:gridCol w:w="770"/>
        <w:gridCol w:w="60"/>
        <w:gridCol w:w="60"/>
        <w:gridCol w:w="1130"/>
        <w:gridCol w:w="75"/>
      </w:tblGrid>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b/>
                <w:sz w:val="20"/>
              </w:rPr>
            </w:pPr>
            <w:r>
              <w:rPr>
                <w:b/>
                <w:sz w:val="20"/>
              </w:rPr>
              <w:t xml:space="preserve">As at </w:t>
              <w:br/>
              <w:t xml:space="preserve">June 30,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 xml:space="preserve">As at </w:t>
              <w:br/>
              <w:t>December 31,</w:t>
              <w:b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USD'000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bottom w:val="single" w:sz="8" w:space="0" w:color="000000"/>
            </w:tcBorders>
            <w:tcMar>
              <w:bottom w:w="28" w:type="dxa"/>
            </w:tcMar>
            <w:vAlign w:val="center"/>
          </w:tcPr>
          <w:p>
            <w:pPr>
              <w:pStyle w:val="TableContents"/>
              <w:bidi w:val="0"/>
              <w:spacing w:before="0" w:after="283"/>
              <w:jc w:val="center"/>
              <w:rPr>
                <w:b w:val="false"/>
                <w:i/>
                <w:caps w:val="false"/>
                <w:smallCaps w:val="false"/>
                <w:sz w:val="20"/>
              </w:rPr>
            </w:pPr>
            <w:r>
              <w:rPr>
                <w:b w:val="false"/>
                <w:i/>
                <w:caps w:val="false"/>
                <w:smallCaps w:val="false"/>
                <w:sz w:val="20"/>
              </w:rPr>
              <w:t>USD'000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sz w:val="20"/>
              </w:rPr>
            </w:pPr>
            <w:r>
              <w:rPr>
                <w:sz w:val="20"/>
              </w:rPr>
              <w:t>Tax losses (Note i)</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sz w:val="20"/>
              </w:rPr>
            </w:pPr>
            <w:r>
              <w:rPr>
                <w:b/>
                <w:sz w:val="20"/>
              </w:rPr>
              <w:t>129,436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114,405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sz w:val="20"/>
              </w:rPr>
            </w:pPr>
            <w:r>
              <w:rPr>
                <w:sz w:val="20"/>
              </w:rPr>
              <w:t>Other deductible temporary differences (Note ii)</w:t>
            </w:r>
          </w:p>
        </w:tc>
        <w:tc>
          <w:tcPr>
            <w:tcW w:w="60" w:type="dxa"/>
            <w:tcBorders/>
            <w:shd w:fill="FFFFFF" w:val="cle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44,197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44,162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173,633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158,567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i.</w:t>
            </w:r>
          </w:p>
        </w:tc>
        <w:tc>
          <w:tcPr>
            <w:tcW w:w="10050" w:type="dxa"/>
            <w:tcBorders/>
            <w:vAlign w:val="center"/>
          </w:tcPr>
          <w:p>
            <w:pPr>
              <w:pStyle w:val="TableContents"/>
              <w:bidi w:val="0"/>
              <w:spacing w:before="0" w:after="283"/>
              <w:jc w:val="both"/>
              <w:rPr/>
            </w:pPr>
            <w:r>
              <w:rPr/>
              <w:t>Included in unrecognized tax losses are losses of USD47,350,000 that will expire in 2027 to 2035 (2025: USD46,827,000 that will expire in 2026 to 2034) and tax losses of USD82,086,000 (2025: USD67,578,000) may be carried forward indefinitely.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No deferred tax asset has been recognized in relation to the above tax losses due to the unpredictability of future profit streams of those loss-making subsidiaries and it is not probable that taxable profit will be available against which the tax losses can be utilized.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ii.</w:t>
            </w:r>
          </w:p>
        </w:tc>
        <w:tc>
          <w:tcPr>
            <w:tcW w:w="9990" w:type="dxa"/>
            <w:tcBorders/>
            <w:vAlign w:val="center"/>
          </w:tcPr>
          <w:p>
            <w:pPr>
              <w:pStyle w:val="TableContents"/>
              <w:bidi w:val="0"/>
              <w:spacing w:before="0" w:after="283"/>
              <w:jc w:val="both"/>
              <w:rPr/>
            </w:pPr>
            <w:r>
              <w:rPr/>
              <w:t>As at June 30, 2026, the Group has other deductible temporary differences of USD44,197,000 (2025: USD44,162,000) mainly arising from temporary differences of impairment loss and leasing transactions that may be carried forward indefinitely. No deferred tax asset has been recognized in relation to such deductible temporary difference as it is not probable that taxable profit will be available against which the deductible temporary differences can be utilized.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56"/>
        <w:gridCol w:w="9695"/>
      </w:tblGrid>
      <w:tr>
        <w:trPr/>
        <w:tc>
          <w:tcPr>
            <w:tcW w:w="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15.</w:t>
            </w:r>
          </w:p>
        </w:tc>
        <w:tc>
          <w:tcPr>
            <w:tcW w:w="9695" w:type="dxa"/>
            <w:tcBorders/>
            <w:vAlign w:val="center"/>
          </w:tcPr>
          <w:p>
            <w:pPr>
              <w:pStyle w:val="TableContents"/>
              <w:bidi w:val="0"/>
              <w:spacing w:before="0" w:after="283"/>
              <w:jc w:val="left"/>
              <w:rPr>
                <w:b/>
              </w:rPr>
            </w:pPr>
            <w:r>
              <w:rPr>
                <w:b/>
              </w:rPr>
              <w:t>TRADE AND OTHER RECEIVABLES AND PREPAYMENTS</w:t>
            </w:r>
          </w:p>
        </w:tc>
      </w:tr>
    </w:tbl>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930"/>
        <w:gridCol w:w="60"/>
        <w:gridCol w:w="770"/>
        <w:gridCol w:w="60"/>
        <w:gridCol w:w="60"/>
        <w:gridCol w:w="1175"/>
        <w:gridCol w:w="75"/>
      </w:tblGrid>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As at </w:t>
              <w:br/>
              <w:t xml:space="preserve">June 30,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As at </w:t>
              <w:br/>
              <w:t xml:space="preserve">December 31, </w:t>
              <w:br/>
              <w:t>2025</w:t>
            </w:r>
          </w:p>
        </w:tc>
        <w:tc>
          <w:tcPr>
            <w:tcW w:w="75" w:type="dxa"/>
            <w:tcBorders/>
            <w:vAlign w:val="center"/>
          </w:tcPr>
          <w:p>
            <w:pPr>
              <w:pStyle w:val="TableContents"/>
              <w:bidi w:val="0"/>
              <w:spacing w:before="0" w:after="283"/>
              <w:jc w:val="center"/>
              <w:rPr/>
            </w:pPr>
            <w:r>
              <w:rPr/>
              <w:t> </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b/>
                <w:i/>
                <w:sz w:val="20"/>
              </w:rPr>
            </w:pPr>
            <w:r>
              <w:rPr>
                <w:b/>
                <w:i/>
                <w:sz w:val="20"/>
              </w:rPr>
              <w:t>USD'000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i/>
                <w:sz w:val="20"/>
              </w:rPr>
            </w:pPr>
            <w:r>
              <w:rPr>
                <w:i/>
                <w:sz w:val="20"/>
              </w:rPr>
              <w:t>USD'000</w:t>
            </w:r>
          </w:p>
        </w:tc>
        <w:tc>
          <w:tcPr>
            <w:tcW w:w="75" w:type="dxa"/>
            <w:tcBorders/>
            <w:vAlign w:val="center"/>
          </w:tcPr>
          <w:p>
            <w:pPr>
              <w:pStyle w:val="TableContents"/>
              <w:bidi w:val="0"/>
              <w:spacing w:before="0" w:after="283"/>
              <w:jc w:val="center"/>
              <w:rPr/>
            </w:pPr>
            <w:r>
              <w:rPr/>
              <w:t> </w:t>
            </w:r>
          </w:p>
        </w:tc>
      </w:tr>
      <w:tr>
        <w:trPr/>
        <w:tc>
          <w:tcPr>
            <w:tcW w:w="2930" w:type="dxa"/>
            <w:tcBorders/>
            <w:shd w:fill="CCEEFF" w:val="clear"/>
            <w:vAlign w:val="center"/>
          </w:tcPr>
          <w:p>
            <w:pPr>
              <w:pStyle w:val="TableContents"/>
              <w:bidi w:val="0"/>
              <w:spacing w:before="0" w:after="283"/>
              <w:jc w:val="left"/>
              <w:rPr>
                <w:sz w:val="20"/>
              </w:rPr>
            </w:pPr>
            <w:r>
              <w:rPr>
                <w:sz w:val="20"/>
              </w:rPr>
              <w:t>Trade receivables (Note)</w:t>
            </w:r>
          </w:p>
        </w:tc>
        <w:tc>
          <w:tcPr>
            <w:tcW w:w="60" w:type="dxa"/>
            <w:tcBorders/>
            <w:shd w:fill="CCEEFF" w:val="cle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13,482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18,042</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Other receivables and prepayments:</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sz w:val="20"/>
              </w:rPr>
            </w:pPr>
            <w:r>
              <w:rPr>
                <w:sz w:val="20"/>
              </w:rPr>
              <w:t>Prepayment to suppliers</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sz w:val="20"/>
              </w:rPr>
            </w:pPr>
            <w:r>
              <w:rPr>
                <w:b/>
                <w:sz w:val="20"/>
              </w:rPr>
              <w:t>14,127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sz w:val="20"/>
              </w:rPr>
            </w:pPr>
            <w:r>
              <w:rPr>
                <w:sz w:val="20"/>
              </w:rPr>
              <w:t>12,923</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sz w:val="20"/>
              </w:rPr>
            </w:pPr>
            <w:r>
              <w:rPr>
                <w:sz w:val="20"/>
              </w:rPr>
              <w:t>Others</w:t>
            </w:r>
          </w:p>
        </w:tc>
        <w:tc>
          <w:tcPr>
            <w:tcW w:w="60" w:type="dxa"/>
            <w:tcBorders/>
            <w:shd w:fill="FFFFFF" w:val="cle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6,973</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19,896</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32,988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37,938</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sz w:val="20"/>
              </w:rPr>
            </w:pPr>
            <w:r>
              <w:rPr>
                <w:sz w:val="20"/>
              </w:rPr>
              <w:t>Current</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sz w:val="20"/>
              </w:rPr>
            </w:pPr>
            <w:r>
              <w:rPr>
                <w:b/>
                <w:sz w:val="20"/>
              </w:rPr>
              <w:t>30,831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sz w:val="20"/>
              </w:rPr>
            </w:pPr>
            <w:r>
              <w:rPr>
                <w:sz w:val="20"/>
              </w:rPr>
              <w:t>35,652</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sz w:val="20"/>
              </w:rPr>
            </w:pPr>
            <w:r>
              <w:rPr>
                <w:sz w:val="20"/>
              </w:rPr>
              <w:t>Non-current</w:t>
            </w:r>
          </w:p>
        </w:tc>
        <w:tc>
          <w:tcPr>
            <w:tcW w:w="60" w:type="dxa"/>
            <w:tcBorders/>
            <w:shd w:fill="FFFFFF" w:val="cle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2,286</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32,988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37,938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
        <w:gridCol w:w="9693"/>
      </w:tblGrid>
      <w:tr>
        <w:trPr/>
        <w:tc>
          <w:tcPr>
            <w:tcW w:w="512" w:type="dxa"/>
            <w:tcBorders/>
            <w:vAlign w:val="center"/>
          </w:tcPr>
          <w:p>
            <w:pPr>
              <w:pStyle w:val="TableContents"/>
              <w:bidi w:val="0"/>
              <w:spacing w:before="0" w:after="283"/>
              <w:jc w:val="left"/>
              <w:rPr>
                <w:i/>
              </w:rPr>
            </w:pPr>
            <w:r>
              <w:rPr>
                <w:i/>
              </w:rPr>
              <w:t>Note:</w:t>
            </w:r>
          </w:p>
        </w:tc>
        <w:tc>
          <w:tcPr>
            <w:tcW w:w="9693" w:type="dxa"/>
            <w:tcBorders/>
            <w:vAlign w:val="center"/>
          </w:tcPr>
          <w:p>
            <w:pPr>
              <w:pStyle w:val="TableContents"/>
              <w:bidi w:val="0"/>
              <w:spacing w:before="0" w:after="283"/>
              <w:jc w:val="both"/>
              <w:rPr/>
            </w:pPr>
            <w:r>
              <w:rPr/>
              <w:t>Majority of trade receivables were from payment platforms which are normally settled within 30 days. Trade receivables are aged within 30 days based on the date of rendering of services. There were no past due trade receivables at end of the reporting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02"/>
        <w:gridCol w:w="9756"/>
      </w:tblGrid>
      <w:tr>
        <w:trPr/>
        <w:tc>
          <w:tcPr>
            <w:tcW w:w="4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b/>
              </w:rPr>
            </w:pPr>
            <w:r>
              <w:rPr>
                <w:b/>
              </w:rPr>
              <w:t>16.</w:t>
            </w:r>
          </w:p>
        </w:tc>
        <w:tc>
          <w:tcPr>
            <w:tcW w:w="9756" w:type="dxa"/>
            <w:tcBorders/>
            <w:vAlign w:val="center"/>
          </w:tcPr>
          <w:p>
            <w:pPr>
              <w:pStyle w:val="TableContents"/>
              <w:bidi w:val="0"/>
              <w:spacing w:before="0" w:after="283"/>
              <w:jc w:val="left"/>
              <w:rPr>
                <w:b/>
              </w:rPr>
            </w:pPr>
            <w:r>
              <w:rPr>
                <w:b/>
              </w:rPr>
              <w:t>FINANCIAL ASSETS AT FAIR VALUE THROUGH PROFIT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and 2025, the financial assets at fair value through profit or loss represent investments in short-term money market funds. The funds are measured at fair value using quoted prices from liquid markets, which are Level 1 and 2 financial instruments in terms of IFRS 13: Fair Value Measurement.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236"/>
        <w:gridCol w:w="8823"/>
      </w:tblGrid>
      <w:tr>
        <w:trPr/>
        <w:tc>
          <w:tcPr>
            <w:tcW w:w="14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b/>
              </w:rPr>
            </w:pPr>
            <w:r>
              <w:rPr>
                <w:b/>
              </w:rPr>
              <w:t>17.</w:t>
            </w:r>
          </w:p>
        </w:tc>
        <w:tc>
          <w:tcPr>
            <w:tcW w:w="8823" w:type="dxa"/>
            <w:tcBorders/>
            <w:vAlign w:val="center"/>
          </w:tcPr>
          <w:p>
            <w:pPr>
              <w:pStyle w:val="TableContents"/>
              <w:bidi w:val="0"/>
              <w:spacing w:before="0" w:after="283"/>
              <w:jc w:val="left"/>
              <w:rPr>
                <w:b/>
              </w:rPr>
            </w:pPr>
            <w:r>
              <w:rPr>
                <w:b/>
              </w:rPr>
              <w:t>TRADE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Trade payables are non-interest bearing and the majority are with a credit term of 30-60 days. An ageing analysis of the Group’s trade payables, as at the end of the reporting period, based on the invoice date, is as follows:</w:t>
      </w:r>
    </w:p>
    <w:p>
      <w:pPr>
        <w:pStyle w:val="TextBody"/>
        <w:bidi w:val="0"/>
        <w:spacing w:before="0" w:after="0"/>
        <w:ind w:left="0" w:right="0" w:hanging="0"/>
        <w:jc w:val="left"/>
        <w:rPr>
          <w:caps w:val="false"/>
          <w:smallCaps w:val="false"/>
        </w:rPr>
      </w:pPr>
      <w:r>
        <w:rPr>
          <w:caps w:val="false"/>
          <w:smallCaps w:val="false"/>
        </w:rPr>
        <w:t> </w:t>
      </w:r>
    </w:p>
    <w:tbl>
      <w:tblPr>
        <w:tblW w:w="3929" w:type="dxa"/>
        <w:jc w:val="left"/>
        <w:tblInd w:w="0" w:type="dxa"/>
        <w:tblLayout w:type="fixed"/>
        <w:tblCellMar>
          <w:top w:w="0" w:type="dxa"/>
          <w:left w:w="0" w:type="dxa"/>
          <w:bottom w:w="0" w:type="dxa"/>
          <w:right w:w="0" w:type="dxa"/>
        </w:tblCellMar>
      </w:tblPr>
      <w:tblGrid>
        <w:gridCol w:w="1280"/>
        <w:gridCol w:w="60"/>
        <w:gridCol w:w="770"/>
        <w:gridCol w:w="60"/>
        <w:gridCol w:w="60"/>
        <w:gridCol w:w="149"/>
        <w:gridCol w:w="1475"/>
        <w:gridCol w:w="75"/>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As at </w:t>
              <w:br/>
              <w:t>June 30,</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rPr>
              <w:br/>
              <w:t>2026</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As at December 31, </w:t>
              <w:br/>
              <w:t>2025</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12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USD’000</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49"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47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Within 60 days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33,595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36,337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7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PAYABLES</w:t>
            </w:r>
          </w:p>
        </w:tc>
      </w:tr>
    </w:tbl>
    <w:p>
      <w:pPr>
        <w:pStyle w:val="TextBody"/>
        <w:bidi w:val="0"/>
        <w:spacing w:before="0" w:after="283"/>
        <w:jc w:val="left"/>
        <w:rPr/>
      </w:pPr>
      <w:r>
        <w:rPr/>
        <w:t> </w:t>
      </w:r>
    </w:p>
    <w:tbl>
      <w:tblPr>
        <w:tblW w:w="4260" w:type="dxa"/>
        <w:jc w:val="left"/>
        <w:tblInd w:w="0" w:type="dxa"/>
        <w:tblLayout w:type="fixed"/>
        <w:tblCellMar>
          <w:top w:w="0" w:type="dxa"/>
          <w:left w:w="0" w:type="dxa"/>
          <w:bottom w:w="0" w:type="dxa"/>
          <w:right w:w="0" w:type="dxa"/>
        </w:tblCellMar>
      </w:tblPr>
      <w:tblGrid>
        <w:gridCol w:w="2045"/>
        <w:gridCol w:w="60"/>
        <w:gridCol w:w="60"/>
        <w:gridCol w:w="770"/>
        <w:gridCol w:w="60"/>
        <w:gridCol w:w="60"/>
        <w:gridCol w:w="104"/>
        <w:gridCol w:w="1026"/>
        <w:gridCol w:w="75"/>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1026"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Renovation fee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3363" w:type="dxa"/>
        <w:jc w:val="left"/>
        <w:tblInd w:w="0" w:type="dxa"/>
        <w:tblLayout w:type="fixed"/>
        <w:tblCellMar>
          <w:top w:w="0" w:type="dxa"/>
          <w:left w:w="0" w:type="dxa"/>
          <w:bottom w:w="0" w:type="dxa"/>
          <w:right w:w="0" w:type="dxa"/>
        </w:tblCellMar>
      </w:tblPr>
      <w:tblGrid>
        <w:gridCol w:w="38"/>
        <w:gridCol w:w="32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3005" w:type="dxa"/>
            <w:tcBorders/>
            <w:vAlign w:val="center"/>
          </w:tcPr>
          <w:p>
            <w:pPr>
              <w:pStyle w:val="TableContents"/>
              <w:bidi w:val="0"/>
              <w:spacing w:before="0" w:after="283"/>
              <w:jc w:val="both"/>
              <w:rPr>
                <w:b/>
              </w:rPr>
            </w:pPr>
            <w:r>
              <w:rPr>
                <w:b/>
              </w:rPr>
              <w:t>CONTRACT LIABILITIES</w:t>
            </w:r>
          </w:p>
        </w:tc>
      </w:tr>
    </w:tbl>
    <w:p>
      <w:pPr>
        <w:pStyle w:val="TextBody"/>
        <w:bidi w:val="0"/>
        <w:spacing w:before="0" w:after="283"/>
        <w:jc w:val="left"/>
        <w:rPr/>
      </w:pPr>
      <w:r>
        <w:rPr/>
        <w:t> </w:t>
      </w:r>
    </w:p>
    <w:tbl>
      <w:tblPr>
        <w:tblW w:w="5669" w:type="dxa"/>
        <w:jc w:val="left"/>
        <w:tblInd w:w="0" w:type="dxa"/>
        <w:tblLayout w:type="fixed"/>
        <w:tblCellMar>
          <w:top w:w="0" w:type="dxa"/>
          <w:left w:w="0" w:type="dxa"/>
          <w:bottom w:w="0" w:type="dxa"/>
          <w:right w:w="0" w:type="dxa"/>
        </w:tblCellMar>
      </w:tblPr>
      <w:tblGrid>
        <w:gridCol w:w="3515"/>
        <w:gridCol w:w="60"/>
        <w:gridCol w:w="70"/>
        <w:gridCol w:w="699"/>
        <w:gridCol w:w="60"/>
        <w:gridCol w:w="60"/>
        <w:gridCol w:w="104"/>
        <w:gridCol w:w="1026"/>
        <w:gridCol w:w="75"/>
      </w:tblGrid>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loyalty scheme </w:t>
            </w:r>
            <w:r>
              <w:rPr>
                <w:rFonts w:ascii="Times New Roman;Times;Serif" w:hAnsi="Times New Roman;Times;Serif"/>
                <w:b w:val="false"/>
                <w:i/>
                <w:caps w:val="false"/>
                <w:smallCaps w:val="false"/>
                <w:sz w:val="20"/>
              </w:rPr>
              <w:t>(Note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cards and issued vouchers </w:t>
            </w:r>
            <w:r>
              <w:rPr>
                <w:rFonts w:ascii="Times New Roman;Times;Serif" w:hAnsi="Times New Roman;Times;Serif"/>
                <w:b w:val="false"/>
                <w:i/>
                <w:caps w:val="false"/>
                <w:smallCaps w:val="false"/>
                <w:sz w:val="20"/>
              </w:rPr>
              <w:t>(Note 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The customer loyalty points have a valid period between 2 years to 5 years since the award credits were granted to customers and can be redeemed anytime within the valid period at customers’ discretion. The amounts disclosed above represented the Group’s expectation on the timing of redemption made by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The Group issued prepaid cards and vouchers which have no expiration and can be utilized in the future consumption in restaurants at customers’ direction. The amounts disclosed above represented the Group’s expectation on the timing of utilization made by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7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12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PROVISIONS</w:t>
            </w:r>
          </w:p>
        </w:tc>
      </w:tr>
    </w:tbl>
    <w:p>
      <w:pPr>
        <w:pStyle w:val="TextBody"/>
        <w:bidi w:val="0"/>
        <w:spacing w:before="0" w:after="283"/>
        <w:jc w:val="left"/>
        <w:rPr/>
      </w:pPr>
      <w:r>
        <w:rPr/>
        <w:t> </w:t>
      </w:r>
    </w:p>
    <w:tbl>
      <w:tblPr>
        <w:tblW w:w="6329" w:type="dxa"/>
        <w:jc w:val="left"/>
        <w:tblInd w:w="0" w:type="dxa"/>
        <w:tblLayout w:type="fixed"/>
        <w:tblCellMar>
          <w:top w:w="0" w:type="dxa"/>
          <w:left w:w="0" w:type="dxa"/>
          <w:bottom w:w="0" w:type="dxa"/>
          <w:right w:w="0" w:type="dxa"/>
        </w:tblCellMar>
      </w:tblPr>
      <w:tblGrid>
        <w:gridCol w:w="4175"/>
        <w:gridCol w:w="60"/>
        <w:gridCol w:w="70"/>
        <w:gridCol w:w="699"/>
        <w:gridCol w:w="60"/>
        <w:gridCol w:w="60"/>
        <w:gridCol w:w="104"/>
        <w:gridCol w:w="1026"/>
        <w:gridCol w:w="75"/>
      </w:tblGrid>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Provision for restoration </w:t>
            </w:r>
            <w:r>
              <w:rPr>
                <w:rFonts w:ascii="Times New Roman;Times;Serif" w:hAnsi="Times New Roman;Times;Serif"/>
                <w:b w:val="false"/>
                <w:i/>
                <w:caps w:val="false"/>
                <w:smallCaps w:val="false"/>
                <w:sz w:val="20"/>
              </w:rPr>
              <w:t>(Note)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Amounts expected to be paid within one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sz w:val="20"/>
              </w:rPr>
            </w:pPr>
            <w:r>
              <w:rPr>
                <w:sz w:val="20"/>
              </w:rPr>
              <w:t>Amounts shown under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Note: </w:t>
      </w:r>
      <w:r>
        <w:rPr>
          <w:rFonts w:ascii="Times New Roman;Times;Serif" w:hAnsi="Times New Roman;Times;Serif"/>
          <w:b w:val="false"/>
          <w:i w:val="false"/>
          <w:caps w:val="false"/>
          <w:smallCaps w:val="false"/>
          <w:sz w:val="20"/>
        </w:rPr>
        <w:t>The provision is related to costs expected to be incurred to restore the leasehold properties according to lease agreements.</w:t>
      </w:r>
    </w:p>
    <w:p>
      <w:pPr>
        <w:pStyle w:val="TextBody"/>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32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21.</w:t>
            </w:r>
          </w:p>
        </w:tc>
        <w:tc>
          <w:tcPr>
            <w:tcW w:w="4475" w:type="dxa"/>
            <w:tcBorders/>
            <w:vAlign w:val="center"/>
          </w:tcPr>
          <w:p>
            <w:pPr>
              <w:pStyle w:val="TableContents"/>
              <w:bidi w:val="0"/>
              <w:spacing w:before="0" w:after="283"/>
              <w:jc w:val="left"/>
              <w:rPr>
                <w:b/>
              </w:rPr>
            </w:pPr>
            <w:r>
              <w:rPr>
                <w:b/>
              </w:rPr>
              <w:t>SHARE CAPITAL &amp; SHARE PREMIUM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of the Company</w:t>
      </w:r>
    </w:p>
    <w:p>
      <w:pPr>
        <w:pStyle w:val="TextBody"/>
        <w:bidi w:val="0"/>
        <w:spacing w:before="0" w:after="0"/>
        <w:ind w:left="0" w:right="0" w:hanging="0"/>
        <w:jc w:val="left"/>
        <w:rPr>
          <w:caps w:val="false"/>
          <w:smallCaps w:val="false"/>
        </w:rPr>
      </w:pPr>
      <w:r>
        <w:rPr>
          <w:caps w:val="false"/>
          <w:smallCaps w:val="false"/>
        </w:rPr>
        <w:t> </w:t>
      </w:r>
    </w:p>
    <w:tbl>
      <w:tblPr>
        <w:tblW w:w="8774" w:type="dxa"/>
        <w:jc w:val="left"/>
        <w:tblInd w:w="0" w:type="dxa"/>
        <w:tblLayout w:type="fixed"/>
        <w:tblCellMar>
          <w:top w:w="0" w:type="dxa"/>
          <w:left w:w="0" w:type="dxa"/>
          <w:bottom w:w="0" w:type="dxa"/>
          <w:right w:w="0" w:type="dxa"/>
        </w:tblCellMar>
      </w:tblPr>
      <w:tblGrid>
        <w:gridCol w:w="5915"/>
        <w:gridCol w:w="60"/>
        <w:gridCol w:w="60"/>
        <w:gridCol w:w="1310"/>
        <w:gridCol w:w="60"/>
        <w:gridCol w:w="60"/>
        <w:gridCol w:w="111"/>
        <w:gridCol w:w="1123"/>
        <w:gridCol w:w="75"/>
      </w:tblGrid>
      <w:tr>
        <w:trPr/>
        <w:tc>
          <w:tcPr>
            <w:tcW w:w="59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Shown in </w:t>
              <w:br/>
              <w:t xml:space="preserve">the condensed </w:t>
              <w:br/>
              <w:t>consolidated</w:t>
              <w:br/>
              <w:t>financial</w:t>
              <w:br/>
              <w:t>statements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at par value of USD0.000005 each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 2025, June 30, 2025, January 1, 2026 and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fully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 2025, June 30, 2025, January 1, 2026 and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650,299,000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of the Company</w:t>
      </w:r>
    </w:p>
    <w:p>
      <w:pPr>
        <w:pStyle w:val="TextBody"/>
        <w:bidi w:val="0"/>
        <w:spacing w:before="0" w:after="0"/>
        <w:jc w:val="left"/>
        <w:rPr>
          <w:caps w:val="false"/>
          <w:smallCaps w:val="false"/>
        </w:rPr>
      </w:pPr>
      <w:r>
        <w:rPr>
          <w:caps w:val="false"/>
          <w:smallCaps w:val="false"/>
        </w:rPr>
        <w:t> </w:t>
      </w:r>
    </w:p>
    <w:tbl>
      <w:tblPr>
        <w:tblW w:w="6134" w:type="dxa"/>
        <w:jc w:val="left"/>
        <w:tblInd w:w="0" w:type="dxa"/>
        <w:tblLayout w:type="fixed"/>
        <w:tblCellMar>
          <w:top w:w="0" w:type="dxa"/>
          <w:left w:w="0" w:type="dxa"/>
          <w:bottom w:w="0" w:type="dxa"/>
          <w:right w:w="0" w:type="dxa"/>
        </w:tblCellMar>
      </w:tblPr>
      <w:tblGrid>
        <w:gridCol w:w="3980"/>
        <w:gridCol w:w="60"/>
        <w:gridCol w:w="61"/>
        <w:gridCol w:w="708"/>
        <w:gridCol w:w="60"/>
        <w:gridCol w:w="60"/>
        <w:gridCol w:w="89"/>
        <w:gridCol w:w="1041"/>
        <w:gridCol w:w="75"/>
      </w:tblGrid>
      <w:tr>
        <w:trPr/>
        <w:tc>
          <w:tcPr>
            <w:tcW w:w="39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 xml:space="preserve">June 30, </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b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beginning of period and as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550,593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7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24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CAPITAL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reporting period, the Group had the following capital commitments: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69"/>
        <w:gridCol w:w="60"/>
        <w:gridCol w:w="68"/>
        <w:gridCol w:w="682"/>
        <w:gridCol w:w="60"/>
        <w:gridCol w:w="60"/>
        <w:gridCol w:w="104"/>
        <w:gridCol w:w="1026"/>
        <w:gridCol w:w="76"/>
      </w:tblGrid>
      <w:tr>
        <w:trPr/>
        <w:tc>
          <w:tcPr>
            <w:tcW w:w="80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w:t>
              <w:br/>
              <w:t>December 31,</w:t>
              <w:b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0"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 in respect of acquisition of property, plant and equipment contracted for but not provided in the condensed consolidated financial statements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45,782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28,843</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293" w:type="dxa"/>
        <w:jc w:val="left"/>
        <w:tblInd w:w="0" w:type="dxa"/>
        <w:tblLayout w:type="fixed"/>
        <w:tblCellMar>
          <w:top w:w="0" w:type="dxa"/>
          <w:left w:w="0" w:type="dxa"/>
          <w:bottom w:w="0" w:type="dxa"/>
          <w:right w:w="0" w:type="dxa"/>
        </w:tblCellMar>
      </w:tblPr>
      <w:tblGrid>
        <w:gridCol w:w="38"/>
        <w:gridCol w:w="32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23.</w:t>
            </w:r>
          </w:p>
        </w:tc>
        <w:tc>
          <w:tcPr>
            <w:tcW w:w="3935" w:type="dxa"/>
            <w:tcBorders/>
            <w:vAlign w:val="center"/>
          </w:tcPr>
          <w:p>
            <w:pPr>
              <w:pStyle w:val="TableContents"/>
              <w:bidi w:val="0"/>
              <w:spacing w:before="0" w:after="283"/>
              <w:jc w:val="both"/>
              <w:rPr>
                <w:b/>
              </w:rPr>
            </w:pPr>
            <w:r>
              <w:rPr>
                <w:b/>
              </w:rPr>
              <w:t>RELATED PARTY DISCLOSURES</w:t>
            </w:r>
          </w:p>
        </w:tc>
      </w:tr>
    </w:tbl>
    <w:p>
      <w:pPr>
        <w:pStyle w:val="TextBody"/>
        <w:bidi w:val="0"/>
        <w:spacing w:before="0" w:after="0"/>
        <w:ind w:left="0" w:right="0" w:hanging="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35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(A)</w:t>
            </w:r>
          </w:p>
        </w:tc>
        <w:tc>
          <w:tcPr>
            <w:tcW w:w="2720" w:type="dxa"/>
            <w:tcBorders/>
            <w:vAlign w:val="center"/>
          </w:tcPr>
          <w:p>
            <w:pPr>
              <w:pStyle w:val="TableContents"/>
              <w:bidi w:val="0"/>
              <w:spacing w:before="0" w:after="283"/>
              <w:jc w:val="left"/>
              <w:rPr>
                <w:b/>
              </w:rPr>
            </w:pPr>
            <w:r>
              <w:rPr>
                <w:b/>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Group has entered into the following transactions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goods/services from related 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8"/>
        <w:gridCol w:w="60"/>
        <w:gridCol w:w="4081"/>
        <w:gridCol w:w="60"/>
        <w:gridCol w:w="60"/>
        <w:gridCol w:w="730"/>
        <w:gridCol w:w="60"/>
        <w:gridCol w:w="60"/>
        <w:gridCol w:w="60"/>
        <w:gridCol w:w="708"/>
        <w:gridCol w:w="78"/>
      </w:tblGrid>
      <w:tr>
        <w:trPr/>
        <w:tc>
          <w:tcPr>
            <w:tcW w:w="4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w:t>
              <w:br/>
              <w:t>ended June 30,</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transaction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companies controlled by the Controlling Shareholders</w:t>
            </w:r>
          </w:p>
        </w:tc>
        <w:tc>
          <w:tcPr>
            <w:tcW w:w="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40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condiment products and instant hot pot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licensed by Sichuan Haidilao Catering Co., Ltd., a company controlled by the Controlling Shareholders, to use the trademark on a royalty-free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owns the proprietary rights to the formulas of Super Hi Customized Products (the “</w:t>
      </w:r>
      <w:r>
        <w:rPr>
          <w:rFonts w:ascii="Times New Roman;Times;Serif" w:hAnsi="Times New Roman;Times;Serif"/>
          <w:b/>
          <w:i w:val="false"/>
          <w:caps w:val="false"/>
          <w:smallCaps w:val="false"/>
          <w:sz w:val="20"/>
        </w:rPr>
        <w:t>Condiments Formulae</w:t>
      </w:r>
      <w:r>
        <w:rPr>
          <w:rFonts w:ascii="Times New Roman;Times;Serif" w:hAnsi="Times New Roman;Times;Serif"/>
          <w:b w:val="false"/>
          <w:i w:val="false"/>
          <w:caps w:val="false"/>
          <w:smallCaps w:val="false"/>
          <w:sz w:val="20"/>
        </w:rPr>
        <w:t>”) in regions other than Chinese Mainland, Hong Kong, Macau and Taiwan regions and licenses the Condiments Formulae to Yihai International Holding Ltd. and its subsidiaries (companies controlled by the Controlling Shareholders) and its contracted manufacturers to use for production on a royalty-free basis.</w:t>
      </w:r>
    </w:p>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3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(B)</w:t>
            </w:r>
          </w:p>
        </w:tc>
        <w:tc>
          <w:tcPr>
            <w:tcW w:w="5960" w:type="dxa"/>
            <w:tcBorders/>
            <w:vAlign w:val="center"/>
          </w:tcPr>
          <w:p>
            <w:pPr>
              <w:pStyle w:val="TableContents"/>
              <w:bidi w:val="0"/>
              <w:spacing w:before="0" w:after="283"/>
              <w:jc w:val="left"/>
              <w:rPr>
                <w:b/>
              </w:rPr>
            </w:pPr>
            <w:r>
              <w:rPr>
                <w:b/>
              </w:rPr>
              <w:t>Remuneration of key management personnel of the Group</w:t>
            </w:r>
          </w:p>
        </w:tc>
      </w:tr>
    </w:tbl>
    <w:p>
      <w:pPr>
        <w:pStyle w:val="TextBody"/>
        <w:bidi w:val="0"/>
        <w:spacing w:before="0" w:after="0"/>
        <w:ind w:left="0" w:right="0" w:hanging="0"/>
        <w:jc w:val="left"/>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3335"/>
        <w:gridCol w:w="60"/>
        <w:gridCol w:w="84"/>
        <w:gridCol w:w="685"/>
        <w:gridCol w:w="78"/>
        <w:gridCol w:w="78"/>
        <w:gridCol w:w="84"/>
        <w:gridCol w:w="685"/>
        <w:gridCol w:w="75"/>
      </w:tblGrid>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w:t>
              <w:br/>
              <w:t>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USD’000</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employee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related bonuses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 scheme contributions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3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24.</w:t>
            </w:r>
          </w:p>
        </w:tc>
        <w:tc>
          <w:tcPr>
            <w:tcW w:w="3110" w:type="dxa"/>
            <w:tcBorders/>
            <w:vAlign w:val="center"/>
          </w:tcPr>
          <w:p>
            <w:pPr>
              <w:pStyle w:val="TableContents"/>
              <w:bidi w:val="0"/>
              <w:spacing w:before="0" w:after="283"/>
              <w:jc w:val="both"/>
              <w:rPr>
                <w:b/>
              </w:rPr>
            </w:pPr>
            <w:r>
              <w:rPr>
                <w:b/>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reported to Chief Executive Officer, who is identified as the chief operating decision maker of the Company, in order to allocate resources and to assess performance, focuses on the operating results of the Group as a whole as the Group’s resources are integrated. Accordingly, it operates and manages its business as a single operating and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individual customer contributes to over 10% of total revenue of the Group during the current and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mainly in Southeast Asia, East Asia, North America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from external customers by geographic area, based on location of operation, during the current and prior periods is detailed as below:</w:t>
      </w:r>
    </w:p>
    <w:p>
      <w:pPr>
        <w:pStyle w:val="TextBody"/>
        <w:bidi w:val="0"/>
        <w:spacing w:before="0" w:after="0"/>
        <w:ind w:left="0" w:right="0" w:hanging="0"/>
        <w:jc w:val="left"/>
        <w:rPr>
          <w:caps w:val="false"/>
          <w:smallCaps w:val="false"/>
        </w:rPr>
      </w:pPr>
      <w:r>
        <w:rPr>
          <w:caps w:val="false"/>
          <w:smallCaps w:val="false"/>
        </w:rPr>
        <w:t> </w:t>
      </w:r>
    </w:p>
    <w:tbl>
      <w:tblPr>
        <w:tblW w:w="4018" w:type="dxa"/>
        <w:jc w:val="left"/>
        <w:tblInd w:w="0" w:type="dxa"/>
        <w:tblLayout w:type="fixed"/>
        <w:tblCellMar>
          <w:top w:w="0" w:type="dxa"/>
          <w:left w:w="0" w:type="dxa"/>
          <w:bottom w:w="0" w:type="dxa"/>
          <w:right w:w="0" w:type="dxa"/>
        </w:tblCellMar>
      </w:tblPr>
      <w:tblGrid>
        <w:gridCol w:w="2045"/>
        <w:gridCol w:w="60"/>
        <w:gridCol w:w="75"/>
        <w:gridCol w:w="874"/>
        <w:gridCol w:w="60"/>
        <w:gridCol w:w="60"/>
        <w:gridCol w:w="61"/>
        <w:gridCol w:w="708"/>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w:t>
              <w:br/>
              <w:t>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shd w:fill="FFFFFF" w:val="clear"/>
            <w:vAlign w:val="center"/>
          </w:tcPr>
          <w:p>
            <w:pPr>
              <w:pStyle w:val="TableContents"/>
              <w:bidi w:val="0"/>
              <w:spacing w:before="0" w:after="283"/>
              <w:jc w:val="center"/>
              <w:rPr>
                <w:b/>
                <w:i/>
              </w:rPr>
            </w:pPr>
            <w:r>
              <w:rPr>
                <w:b/>
                <w:i/>
              </w:rPr>
              <w:t>USD’000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56,991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151,854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444,754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396,733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360" w:type="dxa"/>
        <w:jc w:val="left"/>
        <w:tblInd w:w="0" w:type="dxa"/>
        <w:tblLayout w:type="fixed"/>
        <w:tblCellMar>
          <w:top w:w="0" w:type="dxa"/>
          <w:left w:w="0" w:type="dxa"/>
          <w:bottom w:w="0" w:type="dxa"/>
          <w:right w:w="0" w:type="dxa"/>
        </w:tblCellMar>
      </w:tblPr>
      <w:tblGrid>
        <w:gridCol w:w="230"/>
        <w:gridCol w:w="7130"/>
      </w:tblGrid>
      <w:tr>
        <w:trPr/>
        <w:tc>
          <w:tcPr>
            <w:tcW w:w="230" w:type="dxa"/>
            <w:tcBorders/>
            <w:vAlign w:val="center"/>
          </w:tcPr>
          <w:p>
            <w:pPr>
              <w:pStyle w:val="TableContents"/>
              <w:bidi w:val="0"/>
              <w:spacing w:before="0" w:after="283"/>
              <w:jc w:val="left"/>
              <w:rPr>
                <w:i/>
              </w:rPr>
            </w:pPr>
            <w:r>
              <w:rPr>
                <w:i/>
              </w:rPr>
              <w:t>*:</w:t>
            </w:r>
          </w:p>
        </w:tc>
        <w:tc>
          <w:tcPr>
            <w:tcW w:w="7130" w:type="dxa"/>
            <w:tcBorders/>
            <w:vAlign w:val="center"/>
          </w:tcPr>
          <w:p>
            <w:pPr>
              <w:pStyle w:val="TableContents"/>
              <w:bidi w:val="0"/>
              <w:spacing w:before="0" w:after="283"/>
              <w:jc w:val="left"/>
              <w:rPr>
                <w:i/>
              </w:rPr>
            </w:pPr>
            <w:r>
              <w:rPr>
                <w:i/>
              </w:rPr>
              <w:t>All other individual countries accounted for less than 10% of total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non-current assets presented below by geographic area excluded other receivables, rental and other deposits, prepayments and deferred tax assets:</w:t>
      </w:r>
    </w:p>
    <w:p>
      <w:pPr>
        <w:pStyle w:val="TextBody"/>
        <w:bidi w:val="0"/>
        <w:spacing w:before="0" w:after="0"/>
        <w:ind w:left="0" w:right="0" w:hanging="0"/>
        <w:jc w:val="left"/>
        <w:rPr>
          <w:caps w:val="false"/>
          <w:smallCaps w:val="false"/>
        </w:rPr>
      </w:pPr>
      <w:r>
        <w:rPr>
          <w:caps w:val="false"/>
          <w:smallCaps w:val="false"/>
        </w:rPr>
        <w:t> </w:t>
      </w:r>
    </w:p>
    <w:tbl>
      <w:tblPr>
        <w:tblW w:w="4199" w:type="dxa"/>
        <w:jc w:val="left"/>
        <w:tblInd w:w="0" w:type="dxa"/>
        <w:tblLayout w:type="fixed"/>
        <w:tblCellMar>
          <w:top w:w="0" w:type="dxa"/>
          <w:left w:w="0" w:type="dxa"/>
          <w:bottom w:w="0" w:type="dxa"/>
          <w:right w:w="0" w:type="dxa"/>
        </w:tblCellMar>
      </w:tblPr>
      <w:tblGrid>
        <w:gridCol w:w="2045"/>
        <w:gridCol w:w="60"/>
        <w:gridCol w:w="61"/>
        <w:gridCol w:w="708"/>
        <w:gridCol w:w="60"/>
        <w:gridCol w:w="60"/>
        <w:gridCol w:w="89"/>
        <w:gridCol w:w="1041"/>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As at </w:t>
              <w:b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As at</w:t>
              <w:br/>
              <w:t>December 31,</w:t>
              <w:br/>
              <w:t>2025</w:t>
            </w:r>
          </w:p>
        </w:tc>
        <w:tc>
          <w:tcPr>
            <w:tcW w:w="75" w:type="dxa"/>
            <w:tcBorders/>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gridSpan w:val="2"/>
            <w:tcBorders/>
            <w:shd w:fill="FFFFFF" w:val="clear"/>
            <w:vAlign w:val="center"/>
          </w:tcPr>
          <w:p>
            <w:pPr>
              <w:pStyle w:val="TableContents"/>
              <w:bidi w:val="0"/>
              <w:spacing w:before="0" w:after="283"/>
              <w:jc w:val="center"/>
              <w:rPr>
                <w:b/>
                <w:i/>
                <w:sz w:val="20"/>
              </w:rPr>
            </w:pPr>
            <w:r>
              <w:rPr>
                <w:b/>
                <w:i/>
                <w:sz w:val="20"/>
              </w:rPr>
              <w:t>USD’000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center"/>
              <w:rPr>
                <w:i/>
                <w:sz w:val="20"/>
              </w:rPr>
            </w:pPr>
            <w:r>
              <w:rPr>
                <w:i/>
                <w:sz w:val="20"/>
              </w:rPr>
              <w:t>USD’000</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45,106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166,537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382,174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364,792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335" w:type="dxa"/>
        <w:jc w:val="left"/>
        <w:tblInd w:w="0" w:type="dxa"/>
        <w:tblLayout w:type="fixed"/>
        <w:tblCellMar>
          <w:top w:w="0" w:type="dxa"/>
          <w:left w:w="0" w:type="dxa"/>
          <w:bottom w:w="0" w:type="dxa"/>
          <w:right w:w="0" w:type="dxa"/>
        </w:tblCellMar>
      </w:tblPr>
      <w:tblGrid>
        <w:gridCol w:w="215"/>
        <w:gridCol w:w="8120"/>
      </w:tblGrid>
      <w:tr>
        <w:trPr/>
        <w:tc>
          <w:tcPr>
            <w:tcW w:w="215" w:type="dxa"/>
            <w:tcBorders/>
            <w:vAlign w:val="center"/>
          </w:tcPr>
          <w:p>
            <w:pPr>
              <w:pStyle w:val="TableContents"/>
              <w:bidi w:val="0"/>
              <w:spacing w:before="0" w:after="283"/>
              <w:jc w:val="left"/>
              <w:rPr>
                <w:i/>
              </w:rPr>
            </w:pPr>
            <w:r>
              <w:rPr>
                <w:i/>
              </w:rPr>
              <w:t>^:</w:t>
            </w:r>
          </w:p>
        </w:tc>
        <w:tc>
          <w:tcPr>
            <w:tcW w:w="8120" w:type="dxa"/>
            <w:tcBorders/>
            <w:vAlign w:val="center"/>
          </w:tcPr>
          <w:p>
            <w:pPr>
              <w:pStyle w:val="TableContents"/>
              <w:bidi w:val="0"/>
              <w:spacing w:before="0" w:after="283"/>
              <w:jc w:val="left"/>
              <w:rPr>
                <w:i/>
              </w:rPr>
            </w:pPr>
            <w:r>
              <w:rPr>
                <w:i/>
              </w:rPr>
              <w:t>All other individual countries accounted for less than 10% of total non-current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code provisions of the Corporate Governance Code (the “</w:t>
      </w:r>
      <w:r>
        <w:rPr>
          <w:rFonts w:ascii="Times New Roman;Times;Serif" w:hAnsi="Times New Roman;Times;Serif"/>
          <w:b/>
          <w:i w:val="false"/>
          <w:caps w:val="false"/>
          <w:smallCaps w:val="false"/>
          <w:sz w:val="20"/>
        </w:rPr>
        <w:t>CG Code</w:t>
      </w:r>
      <w:r>
        <w:rPr>
          <w:rFonts w:ascii="Times New Roman;Times;Serif" w:hAnsi="Times New Roman;Times;Serif"/>
          <w:b w:val="false"/>
          <w:i w:val="false"/>
          <w:caps w:val="false"/>
          <w:smallCaps w:val="false"/>
          <w:sz w:val="20"/>
        </w:rPr>
        <w:t>”) as set out in Appendix C1 to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reviews its compliance with CG Code and to the best knowledge of the Directors, the Company has complied with all the applicable principles and code provisions as set out in the CG Code during the Reporting Period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Model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Model Code for Securities Transactions by Directors of Listed Issuers (the “</w:t>
      </w:r>
      <w:r>
        <w:rPr>
          <w:rFonts w:ascii="Times New Roman;Times;Serif" w:hAnsi="Times New Roman;Times;Serif"/>
          <w:b/>
          <w:i w:val="false"/>
          <w:caps w:val="false"/>
          <w:smallCaps w:val="false"/>
          <w:sz w:val="20"/>
        </w:rPr>
        <w:t>Model Code</w:t>
      </w:r>
      <w:r>
        <w:rPr>
          <w:rFonts w:ascii="Times New Roman;Times;Serif" w:hAnsi="Times New Roman;Times;Serif"/>
          <w:b w:val="false"/>
          <w:i w:val="false"/>
          <w:caps w:val="false"/>
          <w:smallCaps w:val="false"/>
          <w:sz w:val="20"/>
        </w:rPr>
        <w:t>”) as set out in Appendix C3 to the Listing Rules as its own code of conduct regarding Directors’ dealings in securities of the Company. Specific inquiries have been made by the Company to all Directors and the Directors have confirmed that they have complied with the Model Code during the Reporting Period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employees, who are likely to be in possession of inside information about the Company, have also been subject to the Model Code for securities transactions. No incident of non-compliance with the Model Code by the employees was noted by the Company during the Reporting Period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Redemption or Issue of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any of its subsidiaries has purchased, sold or redeemed any of the Company’s securities (including sale or transfer of treasury shares) listed on The Stock Exchange of Hong Kong Limited (the “</w:t>
      </w:r>
      <w:r>
        <w:rPr>
          <w:rFonts w:ascii="Times New Roman;Times;Serif" w:hAnsi="Times New Roman;Times;Serif"/>
          <w:b/>
          <w:i w:val="false"/>
          <w:caps w:val="false"/>
          <w:smallCaps w:val="false"/>
          <w:sz w:val="20"/>
        </w:rPr>
        <w:t>Stock Exchange</w:t>
      </w:r>
      <w:r>
        <w:rPr>
          <w:rFonts w:ascii="Times New Roman;Times;Serif" w:hAnsi="Times New Roman;Times;Serif"/>
          <w:b w:val="false"/>
          <w:i w:val="false"/>
          <w:caps w:val="false"/>
          <w:smallCaps w:val="false"/>
          <w:sz w:val="20"/>
        </w:rPr>
        <w:t>”) or other stock exchanges during the Reporting Period and up to the date of this announcement. As of June 30, 2026, the Company did not hold any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did not issue any equity securities (including securities convertible into equity securities) that would be required to be disclosed under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of ADSs in the United States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 completed the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and issued 3,096,600 ADSs (representing 30,966,000 ordinary shares of the Company with total nominal value of US$154.83) at a price of US$19.56 per ADS (with a net price of US$16.76 per ADS) to not fewer than six placees (being professional or other investors whom the underwriter selected pursuant to the underwriting agreement). The 30,966,000 shares were issued at approximately HK$15.28 per share, representing a discount of approximately 9.80% to the closing price of HK$16.94 per share as quoted on the Stock Exchange on May 16, 2024 (Hong Kong time), being the last trading day immediately prior to the pricing date of the Offering. Upon closing of the Offering, the Company received a total of net proceeds of US$51.91 million (after deducting underwriting discounts and commissions and other Offering expenses) (the “</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Offering represents an opportunity for the Company to gain access to an untapped pool of investors and develop a presence in the securities market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announcement, there was no change in the intended use of Net Proceeds in the announcements of the Company dated May 21, 2024 and May 28, 2024. The Net Proceeds were applied in accordance with the intended uses set out in the relevant announcements and had been fully utilized as at June 30, 2026. Accordingly, there were no unutilized Net Proceeds as at June 30, 2026 or the date of this announcement.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60"/>
        <w:gridCol w:w="60"/>
        <w:gridCol w:w="1022"/>
        <w:gridCol w:w="215"/>
        <w:gridCol w:w="60"/>
        <w:gridCol w:w="1019"/>
        <w:gridCol w:w="60"/>
        <w:gridCol w:w="60"/>
        <w:gridCol w:w="1008"/>
        <w:gridCol w:w="60"/>
        <w:gridCol w:w="1010"/>
        <w:gridCol w:w="60"/>
        <w:gridCol w:w="60"/>
        <w:gridCol w:w="1008"/>
        <w:gridCol w:w="60"/>
        <w:gridCol w:w="60"/>
        <w:gridCol w:w="1044"/>
        <w:gridCol w:w="79"/>
      </w:tblGrid>
      <w:tr>
        <w:trPr/>
        <w:tc>
          <w:tcPr>
            <w:tcW w:w="3260" w:type="dxa"/>
            <w:tcBorders>
              <w:bottom w:val="single" w:sz="8" w:space="0" w:color="000000"/>
            </w:tcBorders>
            <w:vAlign w:val="center"/>
          </w:tcPr>
          <w:p>
            <w:pPr>
              <w:pStyle w:val="TableContents"/>
              <w:bidi w:val="0"/>
              <w:spacing w:before="0" w:after="283"/>
              <w:jc w:val="left"/>
              <w:rPr>
                <w:b/>
                <w:sz w:val="20"/>
              </w:rPr>
            </w:pPr>
            <w:r>
              <w:rPr>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022" w:type="dxa"/>
            <w:tcBorders>
              <w:bottom w:val="single" w:sz="8" w:space="0" w:color="000000"/>
            </w:tcBorders>
            <w:vAlign w:val="center"/>
          </w:tcPr>
          <w:p>
            <w:pPr>
              <w:pStyle w:val="TableContents"/>
              <w:bidi w:val="0"/>
              <w:spacing w:before="0" w:after="283"/>
              <w:jc w:val="center"/>
              <w:rPr>
                <w:b/>
                <w:sz w:val="20"/>
              </w:rPr>
            </w:pPr>
            <w:r>
              <w:rPr>
                <w:b/>
                <w:sz w:val="20"/>
              </w:rPr>
              <w:t>Percentage to</w:t>
              <w:br/>
              <w:t xml:space="preserve">the Net </w:t>
              <w:br/>
              <w:t>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9" w:type="dxa"/>
            <w:tcBorders>
              <w:bottom w:val="single" w:sz="8" w:space="0" w:color="000000"/>
            </w:tcBorders>
            <w:vAlign w:val="center"/>
          </w:tcPr>
          <w:p>
            <w:pPr>
              <w:pStyle w:val="TableContents"/>
              <w:bidi w:val="0"/>
              <w:spacing w:before="0" w:after="283"/>
              <w:jc w:val="center"/>
              <w:rPr>
                <w:b/>
                <w:sz w:val="20"/>
              </w:rPr>
            </w:pPr>
            <w:r>
              <w:rPr>
                <w:b/>
                <w:sz w:val="20"/>
              </w:rPr>
              <w:t>Allocation</w:t>
              <w:br/>
              <w:t xml:space="preserve">of the </w:t>
              <w:b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8" w:type="dxa"/>
            <w:tcBorders>
              <w:bottom w:val="single" w:sz="8" w:space="0" w:color="000000"/>
            </w:tcBorders>
            <w:vAlign w:val="center"/>
          </w:tcPr>
          <w:p>
            <w:pPr>
              <w:pStyle w:val="TableContents"/>
              <w:bidi w:val="0"/>
              <w:spacing w:before="0" w:after="283"/>
              <w:jc w:val="center"/>
              <w:rPr>
                <w:b/>
                <w:sz w:val="20"/>
              </w:rPr>
            </w:pPr>
            <w:r>
              <w:rPr>
                <w:b/>
                <w:sz w:val="20"/>
              </w:rPr>
              <w:t>Unutilized</w:t>
              <w:br/>
              <w:t>amount as of</w:t>
              <w:br/>
              <w:t>the beginning</w:t>
              <w:br/>
              <w:t xml:space="preserve">of the </w:t>
              <w:br/>
              <w:t>Reporting</w:t>
              <w:br/>
              <w:t>Period</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b/>
                <w:sz w:val="20"/>
              </w:rPr>
            </w:pPr>
            <w:r>
              <w:rPr>
                <w:b/>
                <w:sz w:val="20"/>
              </w:rPr>
              <w:t>Utilized amount</w:t>
              <w:br/>
              <w:t>during the</w:t>
              <w:br/>
              <w:t>Reporting</w:t>
              <w:br/>
              <w:t>Period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8" w:type="dxa"/>
            <w:tcBorders>
              <w:bottom w:val="single" w:sz="8" w:space="0" w:color="000000"/>
            </w:tcBorders>
            <w:vAlign w:val="center"/>
          </w:tcPr>
          <w:p>
            <w:pPr>
              <w:pStyle w:val="TableContents"/>
              <w:bidi w:val="0"/>
              <w:spacing w:before="0" w:after="283"/>
              <w:jc w:val="center"/>
              <w:rPr>
                <w:b/>
                <w:sz w:val="20"/>
              </w:rPr>
            </w:pPr>
            <w:r>
              <w:rPr>
                <w:b/>
                <w:sz w:val="20"/>
              </w:rPr>
              <w:t>Unutilized</w:t>
              <w:br/>
              <w:t>amount as of</w:t>
              <w:br/>
              <w:t>the end of the</w:t>
              <w:br/>
              <w:t>Reporting</w:t>
              <w:br/>
              <w:t>Period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4" w:type="dxa"/>
            <w:tcBorders>
              <w:bottom w:val="single" w:sz="8" w:space="0" w:color="000000"/>
            </w:tcBorders>
            <w:vAlign w:val="center"/>
          </w:tcPr>
          <w:p>
            <w:pPr>
              <w:pStyle w:val="TableContents"/>
              <w:bidi w:val="0"/>
              <w:spacing w:before="0" w:after="283"/>
              <w:jc w:val="center"/>
              <w:rPr>
                <w:b/>
                <w:sz w:val="20"/>
              </w:rPr>
            </w:pPr>
            <w:r>
              <w:rPr>
                <w:b/>
                <w:sz w:val="20"/>
              </w:rPr>
              <w:t>Expected timeline</w:t>
              <w:br/>
              <w:t xml:space="preserve">for utilizing the </w:t>
              <w:br/>
              <w:t>unutilized Net</w:t>
              <w:br/>
              <w:t>Proceeds</w:t>
            </w:r>
          </w:p>
        </w:tc>
        <w:tc>
          <w:tcPr>
            <w:tcW w:w="79" w:type="dxa"/>
            <w:tcBorders/>
            <w:tcMar>
              <w:bottom w:w="0" w:type="dxa"/>
            </w:tcMar>
            <w:vAlign w:val="center"/>
          </w:tcPr>
          <w:p>
            <w:pPr>
              <w:pStyle w:val="TableContents"/>
              <w:bidi w:val="0"/>
              <w:spacing w:before="0" w:after="283"/>
              <w:jc w:val="left"/>
              <w:rPr/>
            </w:pPr>
            <w:r>
              <w:rPr/>
              <w:t> </w:t>
            </w:r>
          </w:p>
        </w:tc>
      </w:tr>
      <w:tr>
        <w:trPr/>
        <w:tc>
          <w:tcPr>
            <w:tcW w:w="32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22" w:type="dxa"/>
            <w:tcBorders/>
            <w:shd w:fill="FFFFFF" w:val="clear"/>
            <w:tcMar>
              <w:bottom w:w="0" w:type="dxa"/>
            </w:tcMar>
            <w:vAlign w:val="center"/>
          </w:tcPr>
          <w:p>
            <w:pPr>
              <w:pStyle w:val="TableContents"/>
              <w:bidi w:val="0"/>
              <w:spacing w:before="0" w:after="283"/>
              <w:jc w:val="center"/>
              <w:rPr/>
            </w:pPr>
            <w:r>
              <w:rPr/>
              <w:t> </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19" w:type="dxa"/>
            <w:tcBorders/>
            <w:shd w:fill="FFFFFF" w:val="clear"/>
            <w:tcMar>
              <w:bottom w:w="0" w:type="dxa"/>
            </w:tcMar>
            <w:vAlign w:val="center"/>
          </w:tcPr>
          <w:p>
            <w:pPr>
              <w:pStyle w:val="TableContents"/>
              <w:bidi w:val="0"/>
              <w:spacing w:before="0" w:after="283"/>
              <w:jc w:val="center"/>
              <w:rPr>
                <w:i/>
                <w:sz w:val="20"/>
              </w:rPr>
            </w:pPr>
            <w:r>
              <w:rPr>
                <w:i/>
                <w:sz w:val="20"/>
              </w:rPr>
              <w:t>(US$ in million)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08" w:type="dxa"/>
            <w:tcBorders/>
            <w:shd w:fill="FFFFFF" w:val="clear"/>
            <w:tcMar>
              <w:bottom w:w="0" w:type="dxa"/>
            </w:tcMar>
            <w:vAlign w:val="center"/>
          </w:tcPr>
          <w:p>
            <w:pPr>
              <w:pStyle w:val="TableContents"/>
              <w:bidi w:val="0"/>
              <w:spacing w:before="0" w:after="283"/>
              <w:jc w:val="center"/>
              <w:rPr>
                <w:i/>
                <w:sz w:val="20"/>
              </w:rPr>
            </w:pPr>
            <w:r>
              <w:rPr>
                <w:i/>
                <w:sz w:val="20"/>
              </w:rPr>
              <w:t>(US$ in million)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10" w:type="dxa"/>
            <w:tcBorders/>
            <w:shd w:fill="FFFFFF" w:val="clear"/>
            <w:tcMar>
              <w:bottom w:w="0" w:type="dxa"/>
            </w:tcMar>
            <w:vAlign w:val="center"/>
          </w:tcPr>
          <w:p>
            <w:pPr>
              <w:pStyle w:val="TableContents"/>
              <w:bidi w:val="0"/>
              <w:spacing w:before="0" w:after="283"/>
              <w:jc w:val="center"/>
              <w:rPr>
                <w:i/>
                <w:sz w:val="20"/>
              </w:rPr>
            </w:pPr>
            <w:r>
              <w:rPr>
                <w:i/>
                <w:sz w:val="20"/>
              </w:rPr>
              <w:t>(US$ in million)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08" w:type="dxa"/>
            <w:tcBorders/>
            <w:shd w:fill="FFFFFF" w:val="clear"/>
            <w:tcMar>
              <w:bottom w:w="0" w:type="dxa"/>
            </w:tcMar>
            <w:vAlign w:val="center"/>
          </w:tcPr>
          <w:p>
            <w:pPr>
              <w:pStyle w:val="TableContents"/>
              <w:bidi w:val="0"/>
              <w:spacing w:before="0" w:after="283"/>
              <w:jc w:val="center"/>
              <w:rPr>
                <w:i/>
                <w:sz w:val="20"/>
              </w:rPr>
            </w:pPr>
            <w:r>
              <w:rPr>
                <w:i/>
                <w:sz w:val="20"/>
              </w:rPr>
              <w:t>(US$ in million)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44" w:type="dxa"/>
            <w:tcBorders/>
            <w:shd w:fill="FFFFFF" w:val="clear"/>
            <w:tcMar>
              <w:bottom w:w="0" w:type="dxa"/>
            </w:tcMar>
            <w:vAlign w:val="center"/>
          </w:tcPr>
          <w:p>
            <w:pPr>
              <w:pStyle w:val="TableContents"/>
              <w:bidi w:val="0"/>
              <w:spacing w:before="0" w:after="283"/>
              <w:jc w:val="center"/>
              <w:rPr/>
            </w:pPr>
            <w:r>
              <w:rPr/>
              <w:t> </w:t>
            </w:r>
          </w:p>
        </w:tc>
        <w:tc>
          <w:tcPr>
            <w:tcW w:w="79"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260" w:type="dxa"/>
            <w:tcBorders/>
            <w:shd w:fill="CCEEFF" w:val="clear"/>
            <w:tcMar>
              <w:bottom w:w="0" w:type="dxa"/>
            </w:tcMar>
            <w:vAlign w:val="center"/>
          </w:tcPr>
          <w:p>
            <w:pPr>
              <w:pStyle w:val="TableContents"/>
              <w:bidi w:val="0"/>
              <w:spacing w:before="0" w:after="283"/>
              <w:jc w:val="left"/>
              <w:rPr>
                <w:sz w:val="20"/>
              </w:rPr>
            </w:pPr>
            <w:r>
              <w:rPr>
                <w:sz w:val="20"/>
              </w:rPr>
              <w:t>Strengthening brand and expanding restaurant network globally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60" w:type="dxa"/>
            <w:tcBorders/>
            <w:shd w:fill="FFFFFF" w:val="clear"/>
            <w:tcMar>
              <w:bottom w:w="0" w:type="dxa"/>
            </w:tcMar>
            <w:vAlign w:val="center"/>
          </w:tcPr>
          <w:p>
            <w:pPr>
              <w:pStyle w:val="TableContents"/>
              <w:bidi w:val="0"/>
              <w:spacing w:before="0" w:after="283"/>
              <w:jc w:val="left"/>
              <w:rPr>
                <w:sz w:val="20"/>
              </w:rPr>
            </w:pPr>
            <w:r>
              <w:rPr>
                <w:sz w:val="20"/>
              </w:rPr>
              <w:t>Investing in supply chain management capabilities, such as building more central kitchens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60" w:type="dxa"/>
            <w:tcBorders/>
            <w:shd w:fill="CCEEFF" w:val="clear"/>
            <w:tcMar>
              <w:bottom w:w="0" w:type="dxa"/>
            </w:tcMar>
            <w:vAlign w:val="center"/>
          </w:tcPr>
          <w:p>
            <w:pPr>
              <w:pStyle w:val="TableContents"/>
              <w:bidi w:val="0"/>
              <w:spacing w:before="0" w:after="283"/>
              <w:jc w:val="left"/>
              <w:rPr>
                <w:sz w:val="20"/>
              </w:rPr>
            </w:pPr>
            <w:r>
              <w:rPr>
                <w:sz w:val="20"/>
              </w:rPr>
              <w:t>Research and development to enhance digitalization and other technologies used in restaurant management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60" w:type="dxa"/>
            <w:tcBorders/>
            <w:shd w:fill="FFFFFF" w:val="clear"/>
            <w:tcMar>
              <w:bottom w:w="0" w:type="dxa"/>
            </w:tcMar>
            <w:vAlign w:val="center"/>
          </w:tcPr>
          <w:p>
            <w:pPr>
              <w:pStyle w:val="TableContents"/>
              <w:bidi w:val="0"/>
              <w:spacing w:before="0" w:after="283"/>
              <w:jc w:val="left"/>
              <w:rPr>
                <w:sz w:val="20"/>
              </w:rPr>
            </w:pPr>
            <w:r>
              <w:rPr>
                <w:sz w:val="20"/>
              </w:rPr>
              <w:t>Working capital and other general corporate purposes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double" w:sz="2" w:space="0" w:color="000000"/>
            </w:tcBorders>
            <w:shd w:fill="CCEEFF" w:val="clear"/>
            <w:tcMar>
              <w:bottom w:w="5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and Review of the Interim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three members comprising three independent non-executive Directors, namely Mr. TEO Ser Luck (chairman of the Audit Committee), Mr. TAN Kang Uei, Anthony and Mr. LIEN Jown Jing Vincent.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together with the management and the auditor of the Company, considered and reviewed the Group’s interim results for the six months ended June 30, 2026, the accounting principles and practices adopted by the Company and the Group and discussed matters in relation to internal control and financial reporting with the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considers that the interim financial results for the six months ended June 30, 2026 are in compliance with the relevant accounting standards, rules and regulations and appropriate disclosures have been made. There is no disagreement between the Board and the Audit Committee regarding the accounting treatment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After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material events for disclosure subsequent to June 30, 2026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resolved not to declare an interim dividend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of Interim Results Announcement and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interim results announcement is published on the websites of the Stock Exchange (</w:t>
      </w:r>
      <w:r>
        <w:rPr>
          <w:rFonts w:ascii="Times New Roman;Times;Serif" w:hAnsi="Times New Roman;Times;Serif"/>
          <w:b/>
          <w:i w:val="false"/>
          <w:caps w:val="false"/>
          <w:smallCaps w:val="false"/>
          <w:sz w:val="20"/>
        </w:rPr>
        <w:t>www.hkexnews.hk</w:t>
      </w:r>
      <w:r>
        <w:rPr>
          <w:rFonts w:ascii="Times New Roman;Times;Serif" w:hAnsi="Times New Roman;Times;Serif"/>
          <w:b w:val="false"/>
          <w:i w:val="false"/>
          <w:caps w:val="false"/>
          <w:smallCaps w:val="false"/>
          <w:sz w:val="20"/>
        </w:rPr>
        <w:t>) and the Company (</w:t>
      </w:r>
      <w:r>
        <w:rPr>
          <w:rFonts w:ascii="Times New Roman;Times;Serif" w:hAnsi="Times New Roman;Times;Serif"/>
          <w:b/>
          <w:i w:val="false"/>
          <w:caps w:val="false"/>
          <w:smallCaps w:val="false"/>
          <w:sz w:val="20"/>
        </w:rPr>
        <w:t>www.superhiinternational.com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report of the Company for the six months ended June 30, 2026 containing all the information as required by the Listing Rules will be published on the above websites and dispatched (if requested) to the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would like to express its sincere gratitude to the shareholders, management team, employees, business partners and customers of the Company for their support and contribution to the Group.</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SHU Ping</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14621</Words>
  <Characters>80726</Characters>
  <CharactersWithSpaces>97841</CharactersWithSpaces>
  <Paragraphs>6698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