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SUPER HI INTERNATIONAL HOLDING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Paya Lebar Link, #09-04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PLQ 1 Paya Lebar Quarter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408533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+65 6378 1921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0"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Poll Results of the Annual General Meeting Held on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 HI INTERNATIONAL HOLDING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Ping Shu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Ping Shu</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Chairperson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123190</wp:posOffset>
            </wp:positionV>
            <wp:extent cx="162877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87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 HI INTERNATIONAL HOLDING LTD.</w:t>
      </w:r>
    </w:p>
    <w:p>
      <w:pPr>
        <w:spacing w:after="0" w:line="34"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shd w:val="clear" w:color="auto" w:fill="231F20"/>
        </w:rPr>
        <w:t>特海国际控股有限公司</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(HKEX Stock Code: 9658; NASDAQ Symbol: HDL)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POLL RESULTS OF THE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HELD ON JUNE 12, 2026</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References are made to the circular of SUPER HI INTERNATIONAL HOLDING LTD.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dated April 27, 2026 and the supplemental circular of the Company dated May 22, 2026 (collectively, the “</w:t>
      </w:r>
      <w:r>
        <w:rPr>
          <w:rFonts w:ascii="Times New Roman" w:cs="Times New Roman" w:eastAsia="Times New Roman" w:hAnsi="Times New Roman"/>
          <w:sz w:val="18"/>
          <w:szCs w:val="18"/>
          <w:b w:val="1"/>
          <w:bCs w:val="1"/>
          <w:color w:val="231F20"/>
        </w:rPr>
        <w:t>Circulars</w:t>
      </w:r>
      <w:r>
        <w:rPr>
          <w:rFonts w:ascii="Times New Roman" w:cs="Times New Roman" w:eastAsia="Times New Roman" w:hAnsi="Times New Roman"/>
          <w:sz w:val="18"/>
          <w:szCs w:val="18"/>
          <w:color w:val="231F20"/>
        </w:rPr>
        <w:t>”) and the notice of the annual general meeting of the Company dated April 27, 2026 and the supplemental notice of the annual general meeting of the Company dated May 22, 2026 (collectively, the “</w:t>
      </w:r>
      <w:r>
        <w:rPr>
          <w:rFonts w:ascii="Times New Roman" w:cs="Times New Roman" w:eastAsia="Times New Roman" w:hAnsi="Times New Roman"/>
          <w:sz w:val="18"/>
          <w:szCs w:val="18"/>
          <w:b w:val="1"/>
          <w:bCs w:val="1"/>
          <w:color w:val="231F20"/>
        </w:rPr>
        <w:t>AGM Notices</w:t>
      </w:r>
      <w:r>
        <w:rPr>
          <w:rFonts w:ascii="Times New Roman" w:cs="Times New Roman" w:eastAsia="Times New Roman" w:hAnsi="Times New Roman"/>
          <w:sz w:val="18"/>
          <w:szCs w:val="18"/>
          <w:color w:val="231F20"/>
        </w:rPr>
        <w:t>”). Capitalized terms used herein shall have the same meanings as those defined in the Circulars unless otherwise defined.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POLL RESULTS OF THE AGM</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231F20"/>
        </w:rPr>
        <w:t>At the annual general meeting held on June 12, 2026 (the “</w:t>
      </w:r>
      <w:r>
        <w:rPr>
          <w:rFonts w:ascii="Times New Roman" w:cs="Times New Roman" w:eastAsia="Times New Roman" w:hAnsi="Times New Roman"/>
          <w:sz w:val="18"/>
          <w:szCs w:val="18"/>
          <w:b w:val="1"/>
          <w:bCs w:val="1"/>
          <w:color w:val="231F20"/>
        </w:rPr>
        <w:t>AGM</w:t>
      </w:r>
      <w:r>
        <w:rPr>
          <w:rFonts w:ascii="Times New Roman" w:cs="Times New Roman" w:eastAsia="Times New Roman" w:hAnsi="Times New Roman"/>
          <w:sz w:val="18"/>
          <w:szCs w:val="18"/>
          <w:color w:val="231F20"/>
        </w:rPr>
        <w:t>”), a poll voting was demanded by the Chairman of the AGM for voting on all the proposed resolutions as set out in the AGM Notices. The poll results in respect of all the resolutions proposed at the AGM are as 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820" w:type="dxa"/>
            <w:vAlign w:val="bottom"/>
            <w:tcBorders>
              <w:top w:val="single" w:sz="8" w:color="231F20"/>
              <w:left w:val="single" w:sz="8" w:color="231F20"/>
            </w:tcBorders>
          </w:tcPr>
          <w:p>
            <w:pPr>
              <w:spacing w:after="0"/>
              <w:rPr>
                <w:sz w:val="22"/>
                <w:szCs w:val="22"/>
                <w:color w:val="auto"/>
              </w:rPr>
            </w:pPr>
          </w:p>
        </w:tc>
        <w:tc>
          <w:tcPr>
            <w:tcW w:w="6840" w:type="dxa"/>
            <w:vAlign w:val="bottom"/>
            <w:tcBorders>
              <w:top w:val="single" w:sz="8" w:color="231F20"/>
              <w:right w:val="single" w:sz="8" w:color="231F20"/>
            </w:tcBorders>
          </w:tcPr>
          <w:p>
            <w:pPr>
              <w:spacing w:after="0"/>
              <w:rPr>
                <w:sz w:val="22"/>
                <w:szCs w:val="22"/>
                <w:color w:val="auto"/>
              </w:rPr>
            </w:pPr>
          </w:p>
        </w:tc>
        <w:tc>
          <w:tcPr>
            <w:tcW w:w="2260" w:type="dxa"/>
            <w:vAlign w:val="bottom"/>
            <w:tcBorders>
              <w:top w:val="single" w:sz="8" w:color="231F20"/>
            </w:tcBorders>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No. of Votes</w:t>
            </w:r>
          </w:p>
        </w:tc>
        <w:tc>
          <w:tcPr>
            <w:tcW w:w="1320" w:type="dxa"/>
            <w:vAlign w:val="bottom"/>
            <w:tcBorders>
              <w:top w:val="single" w:sz="8" w:color="231F20"/>
              <w:right w:val="single" w:sz="8" w:color="231F20"/>
            </w:tcBorders>
          </w:tcPr>
          <w:p>
            <w:pPr>
              <w:spacing w:after="0"/>
              <w:rPr>
                <w:sz w:val="22"/>
                <w:szCs w:val="22"/>
                <w:color w:val="auto"/>
              </w:rPr>
            </w:pPr>
          </w:p>
        </w:tc>
      </w:tr>
      <w:tr>
        <w:trPr>
          <w:trHeight w:val="292"/>
        </w:trPr>
        <w:tc>
          <w:tcPr>
            <w:tcW w:w="820" w:type="dxa"/>
            <w:vAlign w:val="bottom"/>
            <w:tcBorders>
              <w:left w:val="single" w:sz="8" w:color="231F20"/>
            </w:tcBorders>
          </w:tcPr>
          <w:p>
            <w:pPr>
              <w:spacing w:after="0"/>
              <w:rPr>
                <w:sz w:val="24"/>
                <w:szCs w:val="24"/>
                <w:color w:val="auto"/>
              </w:rPr>
            </w:pPr>
          </w:p>
        </w:tc>
        <w:tc>
          <w:tcPr>
            <w:tcW w:w="6840" w:type="dxa"/>
            <w:vAlign w:val="bottom"/>
            <w:tcBorders>
              <w:right w:val="single" w:sz="8" w:color="231F20"/>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3580" w:type="dxa"/>
            <w:vAlign w:val="bottom"/>
            <w:tcBorders>
              <w:bottom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(Approximate %)</w:t>
            </w:r>
          </w:p>
        </w:tc>
      </w:tr>
      <w:tr>
        <w:trPr>
          <w:trHeight w:val="264"/>
        </w:trPr>
        <w:tc>
          <w:tcPr>
            <w:tcW w:w="820" w:type="dxa"/>
            <w:vAlign w:val="bottom"/>
            <w:tcBorders>
              <w:left w:val="single" w:sz="8" w:color="231F20"/>
            </w:tcBorders>
          </w:tcPr>
          <w:p>
            <w:pPr>
              <w:spacing w:after="0"/>
              <w:rPr>
                <w:sz w:val="22"/>
                <w:szCs w:val="22"/>
                <w:color w:val="auto"/>
              </w:rPr>
            </w:pPr>
          </w:p>
        </w:tc>
        <w:tc>
          <w:tcPr>
            <w:tcW w:w="6840" w:type="dxa"/>
            <w:vAlign w:val="bottom"/>
            <w:tcBorders>
              <w:right w:val="single" w:sz="8" w:color="231F20"/>
            </w:tcBorders>
          </w:tcPr>
          <w:p>
            <w:pPr>
              <w:spacing w:after="0"/>
              <w:rPr>
                <w:sz w:val="22"/>
                <w:szCs w:val="22"/>
                <w:color w:val="auto"/>
              </w:rPr>
            </w:pPr>
          </w:p>
        </w:tc>
        <w:tc>
          <w:tcPr>
            <w:tcW w:w="1800" w:type="dxa"/>
            <w:vAlign w:val="bottom"/>
            <w:tcBorders>
              <w:right w:val="single" w:sz="8" w:color="231F20"/>
            </w:tcBorders>
          </w:tcPr>
          <w:p>
            <w:pPr>
              <w:ind w:left="70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460" w:type="dxa"/>
            <w:vAlign w:val="bottom"/>
          </w:tcPr>
          <w:p>
            <w:pPr>
              <w:spacing w:after="0"/>
              <w:rPr>
                <w:sz w:val="22"/>
                <w:szCs w:val="22"/>
                <w:color w:val="auto"/>
              </w:rPr>
            </w:pPr>
          </w:p>
        </w:tc>
        <w:tc>
          <w:tcPr>
            <w:tcW w:w="132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231F20"/>
              </w:rPr>
              <w:t>AGAINST</w:t>
            </w:r>
          </w:p>
        </w:tc>
      </w:tr>
      <w:tr>
        <w:trPr>
          <w:trHeight w:val="54"/>
        </w:trPr>
        <w:tc>
          <w:tcPr>
            <w:tcW w:w="820" w:type="dxa"/>
            <w:vAlign w:val="bottom"/>
            <w:tcBorders>
              <w:left w:val="single" w:sz="8" w:color="231F20"/>
              <w:bottom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1"/>
        </w:trPr>
        <w:tc>
          <w:tcPr>
            <w:tcW w:w="82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1.</w:t>
            </w: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To receive, consider and adopt the audited consolidated financial statements of the Company</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388,415,728</w:t>
            </w:r>
          </w:p>
        </w:tc>
        <w:tc>
          <w:tcPr>
            <w:tcW w:w="460" w:type="dxa"/>
            <w:vAlign w:val="bottom"/>
          </w:tcPr>
          <w:p>
            <w:pPr>
              <w:spacing w:after="0"/>
              <w:rPr>
                <w:sz w:val="20"/>
                <w:szCs w:val="20"/>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6"/>
              </w:rPr>
              <w:t>84,000</w:t>
            </w:r>
          </w:p>
        </w:tc>
      </w:tr>
      <w:tr>
        <w:trPr>
          <w:trHeight w:val="220"/>
        </w:trPr>
        <w:tc>
          <w:tcPr>
            <w:tcW w:w="820" w:type="dxa"/>
            <w:vAlign w:val="bottom"/>
            <w:tcBorders>
              <w:left w:val="single" w:sz="8" w:color="231F20"/>
              <w:right w:val="single" w:sz="8" w:color="231F20"/>
            </w:tcBorders>
          </w:tcPr>
          <w:p>
            <w:pPr>
              <w:spacing w:after="0"/>
              <w:rPr>
                <w:sz w:val="19"/>
                <w:szCs w:val="19"/>
                <w:color w:val="auto"/>
              </w:rPr>
            </w:pP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and its subsidiaries and the reports of the directors of the Company (the “</w:t>
            </w:r>
            <w:r>
              <w:rPr>
                <w:rFonts w:ascii="Times New Roman" w:cs="Times New Roman" w:eastAsia="Times New Roman" w:hAnsi="Times New Roman"/>
                <w:sz w:val="18"/>
                <w:szCs w:val="18"/>
                <w:b w:val="1"/>
                <w:bCs w:val="1"/>
                <w:color w:val="231F20"/>
              </w:rPr>
              <w:t>Directors</w:t>
            </w:r>
            <w:r>
              <w:rPr>
                <w:rFonts w:ascii="Times New Roman" w:cs="Times New Roman" w:eastAsia="Times New Roman" w:hAnsi="Times New Roman"/>
                <w:sz w:val="18"/>
                <w:szCs w:val="18"/>
                <w:color w:val="231F20"/>
              </w:rPr>
              <w:t>”) and</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(99.98%)</w:t>
            </w:r>
          </w:p>
        </w:tc>
        <w:tc>
          <w:tcPr>
            <w:tcW w:w="460" w:type="dxa"/>
            <w:vAlign w:val="bottom"/>
          </w:tcPr>
          <w:p>
            <w:pPr>
              <w:spacing w:after="0"/>
              <w:rPr>
                <w:sz w:val="19"/>
                <w:szCs w:val="19"/>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(0.02%)</w:t>
            </w:r>
          </w:p>
        </w:tc>
      </w:tr>
      <w:tr>
        <w:trPr>
          <w:trHeight w:val="234"/>
        </w:trPr>
        <w:tc>
          <w:tcPr>
            <w:tcW w:w="820" w:type="dxa"/>
            <w:vAlign w:val="bottom"/>
            <w:tcBorders>
              <w:left w:val="single" w:sz="8" w:color="231F20"/>
              <w:right w:val="single" w:sz="8" w:color="231F20"/>
            </w:tcBorders>
          </w:tcPr>
          <w:p>
            <w:pPr>
              <w:spacing w:after="0"/>
              <w:rPr>
                <w:sz w:val="20"/>
                <w:szCs w:val="20"/>
                <w:color w:val="auto"/>
              </w:rPr>
            </w:pP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auditor of the Company for the year ended December 31, 2025.</w:t>
            </w:r>
          </w:p>
        </w:tc>
        <w:tc>
          <w:tcPr>
            <w:tcW w:w="1800" w:type="dxa"/>
            <w:vAlign w:val="bottom"/>
            <w:tcBorders>
              <w:right w:val="single" w:sz="8" w:color="231F20"/>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r>
      <w:tr>
        <w:trPr>
          <w:trHeight w:val="54"/>
        </w:trPr>
        <w:tc>
          <w:tcPr>
            <w:tcW w:w="820" w:type="dxa"/>
            <w:vAlign w:val="bottom"/>
            <w:tcBorders>
              <w:left w:val="single" w:sz="8" w:color="231F20"/>
              <w:bottom w:val="single" w:sz="8" w:color="231F20"/>
              <w:right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5"/>
        </w:trPr>
        <w:tc>
          <w:tcPr>
            <w:tcW w:w="82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2.(a)</w:t>
            </w: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(i)      To re-elect Mr. YOON Daejin as an executive Director.</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388,283,254</w:t>
            </w:r>
          </w:p>
        </w:tc>
        <w:tc>
          <w:tcPr>
            <w:tcW w:w="460" w:type="dxa"/>
            <w:vAlign w:val="bottom"/>
          </w:tcPr>
          <w:p>
            <w:pPr>
              <w:spacing w:after="0"/>
              <w:rPr>
                <w:sz w:val="21"/>
                <w:szCs w:val="21"/>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216,474</w:t>
            </w:r>
          </w:p>
        </w:tc>
      </w:tr>
      <w:tr>
        <w:trPr>
          <w:trHeight w:val="234"/>
        </w:trPr>
        <w:tc>
          <w:tcPr>
            <w:tcW w:w="820" w:type="dxa"/>
            <w:vAlign w:val="bottom"/>
            <w:tcBorders>
              <w:left w:val="single" w:sz="8" w:color="231F20"/>
              <w:right w:val="single" w:sz="8" w:color="231F20"/>
            </w:tcBorders>
          </w:tcPr>
          <w:p>
            <w:pPr>
              <w:spacing w:after="0"/>
              <w:rPr>
                <w:sz w:val="20"/>
                <w:szCs w:val="20"/>
                <w:color w:val="auto"/>
              </w:rPr>
            </w:pPr>
          </w:p>
        </w:tc>
        <w:tc>
          <w:tcPr>
            <w:tcW w:w="6840" w:type="dxa"/>
            <w:vAlign w:val="bottom"/>
            <w:tcBorders>
              <w:right w:val="single" w:sz="8" w:color="231F20"/>
            </w:tcBorders>
          </w:tcPr>
          <w:p>
            <w:pPr>
              <w:spacing w:after="0"/>
              <w:rPr>
                <w:sz w:val="20"/>
                <w:szCs w:val="20"/>
                <w:color w:val="auto"/>
              </w:rPr>
            </w:pP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(99.94%)</w:t>
            </w:r>
          </w:p>
        </w:tc>
        <w:tc>
          <w:tcPr>
            <w:tcW w:w="460" w:type="dxa"/>
            <w:vAlign w:val="bottom"/>
          </w:tcPr>
          <w:p>
            <w:pPr>
              <w:spacing w:after="0"/>
              <w:rPr>
                <w:sz w:val="20"/>
                <w:szCs w:val="20"/>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(0.06%)</w:t>
            </w:r>
          </w:p>
        </w:tc>
      </w:tr>
      <w:tr>
        <w:trPr>
          <w:trHeight w:val="54"/>
        </w:trPr>
        <w:tc>
          <w:tcPr>
            <w:tcW w:w="820" w:type="dxa"/>
            <w:vAlign w:val="bottom"/>
            <w:tcBorders>
              <w:left w:val="single" w:sz="8" w:color="231F20"/>
              <w:right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5"/>
        </w:trPr>
        <w:tc>
          <w:tcPr>
            <w:tcW w:w="820" w:type="dxa"/>
            <w:vAlign w:val="bottom"/>
            <w:tcBorders>
              <w:left w:val="single" w:sz="8" w:color="231F20"/>
              <w:right w:val="single" w:sz="8" w:color="231F20"/>
            </w:tcBorders>
          </w:tcPr>
          <w:p>
            <w:pPr>
              <w:spacing w:after="0"/>
              <w:rPr>
                <w:sz w:val="21"/>
                <w:szCs w:val="21"/>
                <w:color w:val="auto"/>
              </w:rPr>
            </w:pP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(ii)     To re-elect Ms. JIANG Bingyu as an executive Director.</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385,124,137</w:t>
            </w:r>
          </w:p>
        </w:tc>
        <w:tc>
          <w:tcPr>
            <w:tcW w:w="460" w:type="dxa"/>
            <w:vAlign w:val="bottom"/>
          </w:tcPr>
          <w:p>
            <w:pPr>
              <w:spacing w:after="0"/>
              <w:rPr>
                <w:sz w:val="21"/>
                <w:szCs w:val="21"/>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207,474</w:t>
            </w:r>
          </w:p>
        </w:tc>
      </w:tr>
      <w:tr>
        <w:trPr>
          <w:trHeight w:val="234"/>
        </w:trPr>
        <w:tc>
          <w:tcPr>
            <w:tcW w:w="820" w:type="dxa"/>
            <w:vAlign w:val="bottom"/>
            <w:tcBorders>
              <w:left w:val="single" w:sz="8" w:color="231F20"/>
              <w:right w:val="single" w:sz="8" w:color="231F20"/>
            </w:tcBorders>
          </w:tcPr>
          <w:p>
            <w:pPr>
              <w:spacing w:after="0"/>
              <w:rPr>
                <w:sz w:val="20"/>
                <w:szCs w:val="20"/>
                <w:color w:val="auto"/>
              </w:rPr>
            </w:pPr>
          </w:p>
        </w:tc>
        <w:tc>
          <w:tcPr>
            <w:tcW w:w="6840" w:type="dxa"/>
            <w:vAlign w:val="bottom"/>
            <w:tcBorders>
              <w:right w:val="single" w:sz="8" w:color="231F20"/>
            </w:tcBorders>
          </w:tcPr>
          <w:p>
            <w:pPr>
              <w:spacing w:after="0"/>
              <w:rPr>
                <w:sz w:val="20"/>
                <w:szCs w:val="20"/>
                <w:color w:val="auto"/>
              </w:rPr>
            </w:pP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(99.95%)</w:t>
            </w:r>
          </w:p>
        </w:tc>
        <w:tc>
          <w:tcPr>
            <w:tcW w:w="460" w:type="dxa"/>
            <w:vAlign w:val="bottom"/>
          </w:tcPr>
          <w:p>
            <w:pPr>
              <w:spacing w:after="0"/>
              <w:rPr>
                <w:sz w:val="20"/>
                <w:szCs w:val="20"/>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(0.05%)</w:t>
            </w:r>
          </w:p>
        </w:tc>
      </w:tr>
      <w:tr>
        <w:trPr>
          <w:trHeight w:val="54"/>
        </w:trPr>
        <w:tc>
          <w:tcPr>
            <w:tcW w:w="820" w:type="dxa"/>
            <w:vAlign w:val="bottom"/>
            <w:tcBorders>
              <w:left w:val="single" w:sz="8" w:color="231F20"/>
              <w:right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5"/>
        </w:trPr>
        <w:tc>
          <w:tcPr>
            <w:tcW w:w="820" w:type="dxa"/>
            <w:vAlign w:val="bottom"/>
            <w:tcBorders>
              <w:left w:val="single" w:sz="8" w:color="231F20"/>
              <w:right w:val="single" w:sz="8" w:color="231F20"/>
            </w:tcBorders>
          </w:tcPr>
          <w:p>
            <w:pPr>
              <w:spacing w:after="0"/>
              <w:rPr>
                <w:sz w:val="21"/>
                <w:szCs w:val="21"/>
                <w:color w:val="auto"/>
              </w:rPr>
            </w:pP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(iii)    To re-elect Mr. TAN Kang Uei, Anthony as an independent non-executive Director.</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388,268,459</w:t>
            </w:r>
          </w:p>
        </w:tc>
        <w:tc>
          <w:tcPr>
            <w:tcW w:w="460" w:type="dxa"/>
            <w:vAlign w:val="bottom"/>
          </w:tcPr>
          <w:p>
            <w:pPr>
              <w:spacing w:after="0"/>
              <w:rPr>
                <w:sz w:val="21"/>
                <w:szCs w:val="21"/>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231,269</w:t>
            </w:r>
          </w:p>
        </w:tc>
      </w:tr>
      <w:tr>
        <w:trPr>
          <w:trHeight w:val="234"/>
        </w:trPr>
        <w:tc>
          <w:tcPr>
            <w:tcW w:w="820" w:type="dxa"/>
            <w:vAlign w:val="bottom"/>
            <w:tcBorders>
              <w:left w:val="single" w:sz="8" w:color="231F20"/>
              <w:right w:val="single" w:sz="8" w:color="231F20"/>
            </w:tcBorders>
          </w:tcPr>
          <w:p>
            <w:pPr>
              <w:spacing w:after="0"/>
              <w:rPr>
                <w:sz w:val="20"/>
                <w:szCs w:val="20"/>
                <w:color w:val="auto"/>
              </w:rPr>
            </w:pPr>
          </w:p>
        </w:tc>
        <w:tc>
          <w:tcPr>
            <w:tcW w:w="6840" w:type="dxa"/>
            <w:vAlign w:val="bottom"/>
            <w:tcBorders>
              <w:right w:val="single" w:sz="8" w:color="231F20"/>
            </w:tcBorders>
          </w:tcPr>
          <w:p>
            <w:pPr>
              <w:spacing w:after="0"/>
              <w:rPr>
                <w:sz w:val="20"/>
                <w:szCs w:val="20"/>
                <w:color w:val="auto"/>
              </w:rPr>
            </w:pP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(99.94%)</w:t>
            </w:r>
          </w:p>
        </w:tc>
        <w:tc>
          <w:tcPr>
            <w:tcW w:w="460" w:type="dxa"/>
            <w:vAlign w:val="bottom"/>
          </w:tcPr>
          <w:p>
            <w:pPr>
              <w:spacing w:after="0"/>
              <w:rPr>
                <w:sz w:val="20"/>
                <w:szCs w:val="20"/>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(0.06%)</w:t>
            </w:r>
          </w:p>
        </w:tc>
      </w:tr>
      <w:tr>
        <w:trPr>
          <w:trHeight w:val="54"/>
        </w:trPr>
        <w:tc>
          <w:tcPr>
            <w:tcW w:w="820" w:type="dxa"/>
            <w:vAlign w:val="bottom"/>
            <w:tcBorders>
              <w:left w:val="single" w:sz="8" w:color="231F20"/>
              <w:right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5"/>
        </w:trPr>
        <w:tc>
          <w:tcPr>
            <w:tcW w:w="820" w:type="dxa"/>
            <w:vAlign w:val="bottom"/>
            <w:tcBorders>
              <w:left w:val="single" w:sz="8" w:color="231F20"/>
              <w:right w:val="single" w:sz="8" w:color="231F20"/>
            </w:tcBorders>
          </w:tcPr>
          <w:p>
            <w:pPr>
              <w:spacing w:after="0"/>
              <w:rPr>
                <w:sz w:val="21"/>
                <w:szCs w:val="21"/>
                <w:color w:val="auto"/>
              </w:rPr>
            </w:pP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(iv)    To re-elect Mr. LIEN Jown Jing Vincent as an independent non-executive Director.</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388,268,459</w:t>
            </w:r>
          </w:p>
        </w:tc>
        <w:tc>
          <w:tcPr>
            <w:tcW w:w="460" w:type="dxa"/>
            <w:vAlign w:val="bottom"/>
          </w:tcPr>
          <w:p>
            <w:pPr>
              <w:spacing w:after="0"/>
              <w:rPr>
                <w:sz w:val="21"/>
                <w:szCs w:val="21"/>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231,269</w:t>
            </w:r>
          </w:p>
        </w:tc>
      </w:tr>
      <w:tr>
        <w:trPr>
          <w:trHeight w:val="234"/>
        </w:trPr>
        <w:tc>
          <w:tcPr>
            <w:tcW w:w="820" w:type="dxa"/>
            <w:vAlign w:val="bottom"/>
            <w:tcBorders>
              <w:left w:val="single" w:sz="8" w:color="231F20"/>
              <w:right w:val="single" w:sz="8" w:color="231F20"/>
            </w:tcBorders>
          </w:tcPr>
          <w:p>
            <w:pPr>
              <w:spacing w:after="0"/>
              <w:rPr>
                <w:sz w:val="20"/>
                <w:szCs w:val="20"/>
                <w:color w:val="auto"/>
              </w:rPr>
            </w:pPr>
          </w:p>
        </w:tc>
        <w:tc>
          <w:tcPr>
            <w:tcW w:w="6840" w:type="dxa"/>
            <w:vAlign w:val="bottom"/>
            <w:tcBorders>
              <w:right w:val="single" w:sz="8" w:color="231F20"/>
            </w:tcBorders>
          </w:tcPr>
          <w:p>
            <w:pPr>
              <w:spacing w:after="0"/>
              <w:rPr>
                <w:sz w:val="20"/>
                <w:szCs w:val="20"/>
                <w:color w:val="auto"/>
              </w:rPr>
            </w:pP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(99.94%)</w:t>
            </w:r>
          </w:p>
        </w:tc>
        <w:tc>
          <w:tcPr>
            <w:tcW w:w="460" w:type="dxa"/>
            <w:vAlign w:val="bottom"/>
          </w:tcPr>
          <w:p>
            <w:pPr>
              <w:spacing w:after="0"/>
              <w:rPr>
                <w:sz w:val="20"/>
                <w:szCs w:val="20"/>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(0.06%)</w:t>
            </w:r>
          </w:p>
        </w:tc>
      </w:tr>
      <w:tr>
        <w:trPr>
          <w:trHeight w:val="54"/>
        </w:trPr>
        <w:tc>
          <w:tcPr>
            <w:tcW w:w="820" w:type="dxa"/>
            <w:vAlign w:val="bottom"/>
            <w:tcBorders>
              <w:left w:val="single" w:sz="8" w:color="231F20"/>
              <w:bottom w:val="single" w:sz="8" w:color="231F20"/>
              <w:right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641"/>
        </w:trPr>
        <w:tc>
          <w:tcPr>
            <w:tcW w:w="8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4760"/>
              <w:spacing w:after="0"/>
              <w:rPr>
                <w:sz w:val="20"/>
                <w:szCs w:val="20"/>
                <w:color w:val="auto"/>
              </w:rPr>
            </w:pPr>
            <w:r>
              <w:rPr>
                <w:rFonts w:ascii="Times New Roman" w:cs="Times New Roman" w:eastAsia="Times New Roman" w:hAnsi="Times New Roman"/>
                <w:sz w:val="18"/>
                <w:szCs w:val="18"/>
                <w:color w:val="auto"/>
              </w:rPr>
              <w:t>1</w:t>
            </w:r>
          </w:p>
        </w:tc>
        <w:tc>
          <w:tcPr>
            <w:tcW w:w="1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820" w:type="dxa"/>
            <w:vAlign w:val="bottom"/>
            <w:tcBorders>
              <w:top w:val="single" w:sz="8" w:color="231F20"/>
              <w:left w:val="single" w:sz="8" w:color="231F20"/>
            </w:tcBorders>
          </w:tcPr>
          <w:p>
            <w:pPr>
              <w:spacing w:after="0"/>
              <w:rPr>
                <w:sz w:val="22"/>
                <w:szCs w:val="22"/>
                <w:color w:val="auto"/>
              </w:rPr>
            </w:pPr>
          </w:p>
        </w:tc>
        <w:tc>
          <w:tcPr>
            <w:tcW w:w="6840" w:type="dxa"/>
            <w:vAlign w:val="bottom"/>
            <w:tcBorders>
              <w:top w:val="single" w:sz="8" w:color="231F20"/>
              <w:right w:val="single" w:sz="8" w:color="231F20"/>
            </w:tcBorders>
          </w:tcPr>
          <w:p>
            <w:pPr>
              <w:spacing w:after="0"/>
              <w:rPr>
                <w:sz w:val="22"/>
                <w:szCs w:val="22"/>
                <w:color w:val="auto"/>
              </w:rPr>
            </w:pPr>
          </w:p>
        </w:tc>
        <w:tc>
          <w:tcPr>
            <w:tcW w:w="2260" w:type="dxa"/>
            <w:vAlign w:val="bottom"/>
            <w:tcBorders>
              <w:top w:val="single" w:sz="8" w:color="231F20"/>
            </w:tcBorders>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No. of Votes</w:t>
            </w:r>
          </w:p>
        </w:tc>
        <w:tc>
          <w:tcPr>
            <w:tcW w:w="1320" w:type="dxa"/>
            <w:vAlign w:val="bottom"/>
            <w:tcBorders>
              <w:top w:val="single" w:sz="8" w:color="231F20"/>
              <w:right w:val="single" w:sz="8" w:color="231F20"/>
            </w:tcBorders>
          </w:tcPr>
          <w:p>
            <w:pPr>
              <w:spacing w:after="0"/>
              <w:rPr>
                <w:sz w:val="22"/>
                <w:szCs w:val="22"/>
                <w:color w:val="auto"/>
              </w:rPr>
            </w:pPr>
          </w:p>
        </w:tc>
      </w:tr>
      <w:tr>
        <w:trPr>
          <w:trHeight w:val="292"/>
        </w:trPr>
        <w:tc>
          <w:tcPr>
            <w:tcW w:w="820" w:type="dxa"/>
            <w:vAlign w:val="bottom"/>
            <w:tcBorders>
              <w:left w:val="single" w:sz="8" w:color="231F20"/>
            </w:tcBorders>
          </w:tcPr>
          <w:p>
            <w:pPr>
              <w:spacing w:after="0"/>
              <w:rPr>
                <w:sz w:val="24"/>
                <w:szCs w:val="24"/>
                <w:color w:val="auto"/>
              </w:rPr>
            </w:pPr>
          </w:p>
        </w:tc>
        <w:tc>
          <w:tcPr>
            <w:tcW w:w="6840" w:type="dxa"/>
            <w:vAlign w:val="bottom"/>
            <w:tcBorders>
              <w:right w:val="single" w:sz="8" w:color="231F20"/>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3580" w:type="dxa"/>
            <w:vAlign w:val="bottom"/>
            <w:tcBorders>
              <w:bottom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(Approximate %)</w:t>
            </w:r>
          </w:p>
        </w:tc>
      </w:tr>
      <w:tr>
        <w:trPr>
          <w:trHeight w:val="264"/>
        </w:trPr>
        <w:tc>
          <w:tcPr>
            <w:tcW w:w="820" w:type="dxa"/>
            <w:vAlign w:val="bottom"/>
            <w:tcBorders>
              <w:left w:val="single" w:sz="8" w:color="231F20"/>
            </w:tcBorders>
          </w:tcPr>
          <w:p>
            <w:pPr>
              <w:spacing w:after="0"/>
              <w:rPr>
                <w:sz w:val="22"/>
                <w:szCs w:val="22"/>
                <w:color w:val="auto"/>
              </w:rPr>
            </w:pPr>
          </w:p>
        </w:tc>
        <w:tc>
          <w:tcPr>
            <w:tcW w:w="6840" w:type="dxa"/>
            <w:vAlign w:val="bottom"/>
            <w:tcBorders>
              <w:right w:val="single" w:sz="8" w:color="231F20"/>
            </w:tcBorders>
          </w:tcPr>
          <w:p>
            <w:pPr>
              <w:spacing w:after="0"/>
              <w:rPr>
                <w:sz w:val="22"/>
                <w:szCs w:val="22"/>
                <w:color w:val="auto"/>
              </w:rPr>
            </w:pPr>
          </w:p>
        </w:tc>
        <w:tc>
          <w:tcPr>
            <w:tcW w:w="1800" w:type="dxa"/>
            <w:vAlign w:val="bottom"/>
            <w:tcBorders>
              <w:right w:val="single" w:sz="8" w:color="231F20"/>
            </w:tcBorders>
          </w:tcPr>
          <w:p>
            <w:pPr>
              <w:ind w:left="70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460" w:type="dxa"/>
            <w:vAlign w:val="bottom"/>
          </w:tcPr>
          <w:p>
            <w:pPr>
              <w:spacing w:after="0"/>
              <w:rPr>
                <w:sz w:val="22"/>
                <w:szCs w:val="22"/>
                <w:color w:val="auto"/>
              </w:rPr>
            </w:pPr>
          </w:p>
        </w:tc>
        <w:tc>
          <w:tcPr>
            <w:tcW w:w="132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231F20"/>
              </w:rPr>
              <w:t>AGAINST</w:t>
            </w:r>
          </w:p>
        </w:tc>
      </w:tr>
      <w:tr>
        <w:trPr>
          <w:trHeight w:val="54"/>
        </w:trPr>
        <w:tc>
          <w:tcPr>
            <w:tcW w:w="820" w:type="dxa"/>
            <w:vAlign w:val="bottom"/>
            <w:tcBorders>
              <w:left w:val="single" w:sz="8" w:color="231F20"/>
              <w:bottom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5"/>
        </w:trPr>
        <w:tc>
          <w:tcPr>
            <w:tcW w:w="82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2.(b)</w:t>
            </w: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To authorise the board of Directors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to fix remuneration of the Directors.</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388,438,444</w:t>
            </w:r>
          </w:p>
        </w:tc>
        <w:tc>
          <w:tcPr>
            <w:tcW w:w="460" w:type="dxa"/>
            <w:vAlign w:val="bottom"/>
          </w:tcPr>
          <w:p>
            <w:pPr>
              <w:spacing w:after="0"/>
              <w:rPr>
                <w:sz w:val="21"/>
                <w:szCs w:val="21"/>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6"/>
              </w:rPr>
              <w:t>61,284</w:t>
            </w:r>
          </w:p>
        </w:tc>
      </w:tr>
      <w:tr>
        <w:trPr>
          <w:trHeight w:val="234"/>
        </w:trPr>
        <w:tc>
          <w:tcPr>
            <w:tcW w:w="820" w:type="dxa"/>
            <w:vAlign w:val="bottom"/>
            <w:tcBorders>
              <w:left w:val="single" w:sz="8" w:color="231F20"/>
              <w:right w:val="single" w:sz="8" w:color="231F20"/>
            </w:tcBorders>
          </w:tcPr>
          <w:p>
            <w:pPr>
              <w:spacing w:after="0"/>
              <w:rPr>
                <w:sz w:val="20"/>
                <w:szCs w:val="20"/>
                <w:color w:val="auto"/>
              </w:rPr>
            </w:pPr>
          </w:p>
        </w:tc>
        <w:tc>
          <w:tcPr>
            <w:tcW w:w="6840" w:type="dxa"/>
            <w:vAlign w:val="bottom"/>
            <w:tcBorders>
              <w:right w:val="single" w:sz="8" w:color="231F20"/>
            </w:tcBorders>
          </w:tcPr>
          <w:p>
            <w:pPr>
              <w:spacing w:after="0"/>
              <w:rPr>
                <w:sz w:val="20"/>
                <w:szCs w:val="20"/>
                <w:color w:val="auto"/>
              </w:rPr>
            </w:pP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(99.98%)</w:t>
            </w:r>
          </w:p>
        </w:tc>
        <w:tc>
          <w:tcPr>
            <w:tcW w:w="460" w:type="dxa"/>
            <w:vAlign w:val="bottom"/>
          </w:tcPr>
          <w:p>
            <w:pPr>
              <w:spacing w:after="0"/>
              <w:rPr>
                <w:sz w:val="20"/>
                <w:szCs w:val="20"/>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(0.02%)</w:t>
            </w:r>
          </w:p>
        </w:tc>
      </w:tr>
      <w:tr>
        <w:trPr>
          <w:trHeight w:val="54"/>
        </w:trPr>
        <w:tc>
          <w:tcPr>
            <w:tcW w:w="820" w:type="dxa"/>
            <w:vAlign w:val="bottom"/>
            <w:tcBorders>
              <w:left w:val="single" w:sz="8" w:color="231F20"/>
              <w:bottom w:val="single" w:sz="8" w:color="231F20"/>
              <w:right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5"/>
        </w:trPr>
        <w:tc>
          <w:tcPr>
            <w:tcW w:w="82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3.</w:t>
            </w: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To re-appoint Deloitte &amp; Touche LLP as the auditor of the Company and authorise the Board</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388,477,091</w:t>
            </w:r>
          </w:p>
        </w:tc>
        <w:tc>
          <w:tcPr>
            <w:tcW w:w="460" w:type="dxa"/>
            <w:vAlign w:val="bottom"/>
          </w:tcPr>
          <w:p>
            <w:pPr>
              <w:spacing w:after="0"/>
              <w:rPr>
                <w:sz w:val="21"/>
                <w:szCs w:val="21"/>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6"/>
              </w:rPr>
              <w:t>22,637</w:t>
            </w:r>
          </w:p>
        </w:tc>
      </w:tr>
      <w:tr>
        <w:trPr>
          <w:trHeight w:val="234"/>
        </w:trPr>
        <w:tc>
          <w:tcPr>
            <w:tcW w:w="820" w:type="dxa"/>
            <w:vAlign w:val="bottom"/>
            <w:tcBorders>
              <w:left w:val="single" w:sz="8" w:color="231F20"/>
              <w:right w:val="single" w:sz="8" w:color="231F20"/>
            </w:tcBorders>
          </w:tcPr>
          <w:p>
            <w:pPr>
              <w:spacing w:after="0"/>
              <w:rPr>
                <w:sz w:val="20"/>
                <w:szCs w:val="20"/>
                <w:color w:val="auto"/>
              </w:rPr>
            </w:pP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to fix remuneration of auditor.</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(99.99%)</w:t>
            </w:r>
          </w:p>
        </w:tc>
        <w:tc>
          <w:tcPr>
            <w:tcW w:w="460" w:type="dxa"/>
            <w:vAlign w:val="bottom"/>
          </w:tcPr>
          <w:p>
            <w:pPr>
              <w:spacing w:after="0"/>
              <w:rPr>
                <w:sz w:val="20"/>
                <w:szCs w:val="20"/>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(0.01%)</w:t>
            </w:r>
          </w:p>
        </w:tc>
      </w:tr>
      <w:tr>
        <w:trPr>
          <w:trHeight w:val="54"/>
        </w:trPr>
        <w:tc>
          <w:tcPr>
            <w:tcW w:w="820" w:type="dxa"/>
            <w:vAlign w:val="bottom"/>
            <w:tcBorders>
              <w:left w:val="single" w:sz="8" w:color="231F20"/>
              <w:bottom w:val="single" w:sz="8" w:color="231F20"/>
              <w:right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5"/>
        </w:trPr>
        <w:tc>
          <w:tcPr>
            <w:tcW w:w="82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4.</w:t>
            </w: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w w:val="99"/>
              </w:rPr>
              <w:t>(A)  To give a general and unconditional mandate to the Directors to allot, issue and deal with</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383,865,316</w:t>
            </w:r>
          </w:p>
        </w:tc>
        <w:tc>
          <w:tcPr>
            <w:tcW w:w="460" w:type="dxa"/>
            <w:vAlign w:val="bottom"/>
          </w:tcPr>
          <w:p>
            <w:pPr>
              <w:spacing w:after="0"/>
              <w:rPr>
                <w:sz w:val="21"/>
                <w:szCs w:val="21"/>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4,634,402</w:t>
            </w:r>
          </w:p>
        </w:tc>
      </w:tr>
      <w:tr>
        <w:trPr>
          <w:trHeight w:val="212"/>
        </w:trPr>
        <w:tc>
          <w:tcPr>
            <w:tcW w:w="820" w:type="dxa"/>
            <w:vAlign w:val="bottom"/>
            <w:tcBorders>
              <w:left w:val="single" w:sz="8" w:color="231F20"/>
              <w:right w:val="single" w:sz="8" w:color="231F20"/>
            </w:tcBorders>
          </w:tcPr>
          <w:p>
            <w:pPr>
              <w:spacing w:after="0"/>
              <w:rPr>
                <w:sz w:val="18"/>
                <w:szCs w:val="18"/>
                <w:color w:val="auto"/>
              </w:rPr>
            </w:pPr>
          </w:p>
        </w:tc>
        <w:tc>
          <w:tcPr>
            <w:tcW w:w="6840" w:type="dxa"/>
            <w:vAlign w:val="bottom"/>
            <w:tcBorders>
              <w:right w:val="single" w:sz="8" w:color="231F20"/>
            </w:tcBorders>
          </w:tcPr>
          <w:p>
            <w:pPr>
              <w:ind w:left="380"/>
              <w:spacing w:after="0"/>
              <w:rPr>
                <w:sz w:val="20"/>
                <w:szCs w:val="20"/>
                <w:color w:val="auto"/>
              </w:rPr>
            </w:pPr>
            <w:r>
              <w:rPr>
                <w:rFonts w:ascii="Times New Roman" w:cs="Times New Roman" w:eastAsia="Times New Roman" w:hAnsi="Times New Roman"/>
                <w:sz w:val="18"/>
                <w:szCs w:val="18"/>
                <w:color w:val="231F20"/>
              </w:rPr>
              <w:t>shares (including any sale and transfer of shares out of treasury that are held as treasury</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(98.81%)</w:t>
            </w:r>
          </w:p>
        </w:tc>
        <w:tc>
          <w:tcPr>
            <w:tcW w:w="460" w:type="dxa"/>
            <w:vAlign w:val="bottom"/>
          </w:tcPr>
          <w:p>
            <w:pPr>
              <w:spacing w:after="0"/>
              <w:rPr>
                <w:sz w:val="18"/>
                <w:szCs w:val="18"/>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(1.19%)</w:t>
            </w:r>
          </w:p>
        </w:tc>
      </w:tr>
      <w:tr>
        <w:trPr>
          <w:trHeight w:val="220"/>
        </w:trPr>
        <w:tc>
          <w:tcPr>
            <w:tcW w:w="820" w:type="dxa"/>
            <w:vAlign w:val="bottom"/>
            <w:tcBorders>
              <w:left w:val="single" w:sz="8" w:color="231F20"/>
              <w:right w:val="single" w:sz="8" w:color="231F20"/>
            </w:tcBorders>
          </w:tcPr>
          <w:p>
            <w:pPr>
              <w:spacing w:after="0"/>
              <w:rPr>
                <w:sz w:val="19"/>
                <w:szCs w:val="19"/>
                <w:color w:val="auto"/>
              </w:rPr>
            </w:pPr>
          </w:p>
        </w:tc>
        <w:tc>
          <w:tcPr>
            <w:tcW w:w="6840" w:type="dxa"/>
            <w:vAlign w:val="bottom"/>
            <w:tcBorders>
              <w:right w:val="single" w:sz="8" w:color="231F20"/>
            </w:tcBorders>
          </w:tcPr>
          <w:p>
            <w:pPr>
              <w:ind w:left="380"/>
              <w:spacing w:after="0"/>
              <w:rPr>
                <w:sz w:val="20"/>
                <w:szCs w:val="20"/>
                <w:color w:val="auto"/>
              </w:rPr>
            </w:pPr>
            <w:r>
              <w:rPr>
                <w:rFonts w:ascii="Times New Roman" w:cs="Times New Roman" w:eastAsia="Times New Roman" w:hAnsi="Times New Roman"/>
                <w:sz w:val="18"/>
                <w:szCs w:val="18"/>
                <w:color w:val="231F20"/>
              </w:rPr>
              <w:t>shares) and/ or American depositary shares (the “</w:t>
            </w:r>
            <w:r>
              <w:rPr>
                <w:rFonts w:ascii="Times New Roman" w:cs="Times New Roman" w:eastAsia="Times New Roman" w:hAnsi="Times New Roman"/>
                <w:sz w:val="18"/>
                <w:szCs w:val="18"/>
                <w:b w:val="1"/>
                <w:bCs w:val="1"/>
                <w:color w:val="231F20"/>
              </w:rPr>
              <w:t>ADSs</w:t>
            </w:r>
            <w:r>
              <w:rPr>
                <w:rFonts w:ascii="Times New Roman" w:cs="Times New Roman" w:eastAsia="Times New Roman" w:hAnsi="Times New Roman"/>
                <w:sz w:val="18"/>
                <w:szCs w:val="18"/>
                <w:color w:val="231F20"/>
              </w:rPr>
              <w:t>”) not exceeding 20% of the</w:t>
            </w:r>
          </w:p>
        </w:tc>
        <w:tc>
          <w:tcPr>
            <w:tcW w:w="1800" w:type="dxa"/>
            <w:vAlign w:val="bottom"/>
            <w:tcBorders>
              <w:right w:val="single" w:sz="8" w:color="231F20"/>
            </w:tcBorders>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Borders>
              <w:right w:val="single" w:sz="8" w:color="231F20"/>
            </w:tcBorders>
          </w:tcPr>
          <w:p>
            <w:pPr>
              <w:spacing w:after="0"/>
              <w:rPr>
                <w:sz w:val="19"/>
                <w:szCs w:val="19"/>
                <w:color w:val="auto"/>
              </w:rPr>
            </w:pPr>
          </w:p>
        </w:tc>
      </w:tr>
      <w:tr>
        <w:trPr>
          <w:trHeight w:val="216"/>
        </w:trPr>
        <w:tc>
          <w:tcPr>
            <w:tcW w:w="820" w:type="dxa"/>
            <w:vAlign w:val="bottom"/>
            <w:tcBorders>
              <w:left w:val="single" w:sz="8" w:color="231F20"/>
              <w:right w:val="single" w:sz="8" w:color="231F20"/>
            </w:tcBorders>
          </w:tcPr>
          <w:p>
            <w:pPr>
              <w:spacing w:after="0"/>
              <w:rPr>
                <w:sz w:val="18"/>
                <w:szCs w:val="18"/>
                <w:color w:val="auto"/>
              </w:rPr>
            </w:pPr>
          </w:p>
        </w:tc>
        <w:tc>
          <w:tcPr>
            <w:tcW w:w="6840" w:type="dxa"/>
            <w:vAlign w:val="bottom"/>
            <w:tcBorders>
              <w:right w:val="single" w:sz="8" w:color="231F20"/>
            </w:tcBorders>
          </w:tcPr>
          <w:p>
            <w:pPr>
              <w:ind w:left="380"/>
              <w:spacing w:after="0"/>
              <w:rPr>
                <w:sz w:val="20"/>
                <w:szCs w:val="20"/>
                <w:color w:val="auto"/>
              </w:rPr>
            </w:pPr>
            <w:r>
              <w:rPr>
                <w:rFonts w:ascii="Times New Roman" w:cs="Times New Roman" w:eastAsia="Times New Roman" w:hAnsi="Times New Roman"/>
                <w:sz w:val="18"/>
                <w:szCs w:val="18"/>
                <w:color w:val="231F20"/>
              </w:rPr>
              <w:t>number of issued shares of the Company (excluding any shares that are held as treasury</w:t>
            </w:r>
          </w:p>
        </w:tc>
        <w:tc>
          <w:tcPr>
            <w:tcW w:w="1800" w:type="dxa"/>
            <w:vAlign w:val="bottom"/>
            <w:tcBorders>
              <w:right w:val="single" w:sz="8" w:color="231F20"/>
            </w:tcBorders>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r>
      <w:tr>
        <w:trPr>
          <w:trHeight w:val="234"/>
        </w:trPr>
        <w:tc>
          <w:tcPr>
            <w:tcW w:w="820" w:type="dxa"/>
            <w:vAlign w:val="bottom"/>
            <w:tcBorders>
              <w:left w:val="single" w:sz="8" w:color="231F20"/>
              <w:right w:val="single" w:sz="8" w:color="231F20"/>
            </w:tcBorders>
          </w:tcPr>
          <w:p>
            <w:pPr>
              <w:spacing w:after="0"/>
              <w:rPr>
                <w:sz w:val="20"/>
                <w:szCs w:val="20"/>
                <w:color w:val="auto"/>
              </w:rPr>
            </w:pPr>
          </w:p>
        </w:tc>
        <w:tc>
          <w:tcPr>
            <w:tcW w:w="6840" w:type="dxa"/>
            <w:vAlign w:val="bottom"/>
            <w:tcBorders>
              <w:right w:val="single" w:sz="8" w:color="231F20"/>
            </w:tcBorders>
          </w:tcPr>
          <w:p>
            <w:pPr>
              <w:ind w:left="380"/>
              <w:spacing w:after="0"/>
              <w:rPr>
                <w:sz w:val="20"/>
                <w:szCs w:val="20"/>
                <w:color w:val="auto"/>
              </w:rPr>
            </w:pPr>
            <w:r>
              <w:rPr>
                <w:rFonts w:ascii="Times New Roman" w:cs="Times New Roman" w:eastAsia="Times New Roman" w:hAnsi="Times New Roman"/>
                <w:sz w:val="18"/>
                <w:szCs w:val="18"/>
                <w:color w:val="231F20"/>
              </w:rPr>
              <w:t>shares).</w:t>
            </w:r>
          </w:p>
        </w:tc>
        <w:tc>
          <w:tcPr>
            <w:tcW w:w="1800" w:type="dxa"/>
            <w:vAlign w:val="bottom"/>
            <w:tcBorders>
              <w:right w:val="single" w:sz="8" w:color="231F20"/>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r>
      <w:tr>
        <w:trPr>
          <w:trHeight w:val="54"/>
        </w:trPr>
        <w:tc>
          <w:tcPr>
            <w:tcW w:w="820" w:type="dxa"/>
            <w:vAlign w:val="bottom"/>
            <w:tcBorders>
              <w:left w:val="single" w:sz="8" w:color="231F20"/>
              <w:right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5"/>
        </w:trPr>
        <w:tc>
          <w:tcPr>
            <w:tcW w:w="820" w:type="dxa"/>
            <w:vAlign w:val="bottom"/>
            <w:tcBorders>
              <w:left w:val="single" w:sz="8" w:color="231F20"/>
              <w:right w:val="single" w:sz="8" w:color="231F20"/>
            </w:tcBorders>
          </w:tcPr>
          <w:p>
            <w:pPr>
              <w:spacing w:after="0"/>
              <w:rPr>
                <w:sz w:val="21"/>
                <w:szCs w:val="21"/>
                <w:color w:val="auto"/>
              </w:rPr>
            </w:pP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w w:val="99"/>
              </w:rPr>
              <w:t>(B)</w:t>
            </w:r>
            <w:r>
              <w:rPr>
                <w:rFonts w:ascii="Times New Roman" w:cs="Times New Roman" w:eastAsia="Times New Roman" w:hAnsi="Times New Roman"/>
                <w:sz w:val="8"/>
                <w:szCs w:val="8"/>
                <w:color w:val="231F20"/>
                <w:w w:val="99"/>
              </w:rPr>
              <w:t> </w:t>
            </w:r>
            <w:r>
              <w:rPr>
                <w:rFonts w:ascii="Times New Roman" w:cs="Times New Roman" w:eastAsia="Times New Roman" w:hAnsi="Times New Roman"/>
                <w:sz w:val="18"/>
                <w:szCs w:val="18"/>
                <w:color w:val="231F20"/>
                <w:w w:val="99"/>
              </w:rPr>
              <w:t>  To give a general and unconditional mandate to the Directors to repurchase shares and/or</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388,492,668</w:t>
            </w:r>
          </w:p>
        </w:tc>
        <w:tc>
          <w:tcPr>
            <w:tcW w:w="460" w:type="dxa"/>
            <w:vAlign w:val="bottom"/>
          </w:tcPr>
          <w:p>
            <w:pPr>
              <w:spacing w:after="0"/>
              <w:rPr>
                <w:sz w:val="21"/>
                <w:szCs w:val="21"/>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8"/>
              </w:rPr>
              <w:t>7,040</w:t>
            </w:r>
          </w:p>
        </w:tc>
      </w:tr>
      <w:tr>
        <w:trPr>
          <w:trHeight w:val="216"/>
        </w:trPr>
        <w:tc>
          <w:tcPr>
            <w:tcW w:w="820" w:type="dxa"/>
            <w:vAlign w:val="bottom"/>
            <w:tcBorders>
              <w:left w:val="single" w:sz="8" w:color="231F20"/>
              <w:right w:val="single" w:sz="8" w:color="231F20"/>
            </w:tcBorders>
          </w:tcPr>
          <w:p>
            <w:pPr>
              <w:spacing w:after="0"/>
              <w:rPr>
                <w:sz w:val="18"/>
                <w:szCs w:val="18"/>
                <w:color w:val="auto"/>
              </w:rPr>
            </w:pPr>
          </w:p>
        </w:tc>
        <w:tc>
          <w:tcPr>
            <w:tcW w:w="6840" w:type="dxa"/>
            <w:vAlign w:val="bottom"/>
            <w:tcBorders>
              <w:right w:val="single" w:sz="8" w:color="231F20"/>
            </w:tcBorders>
          </w:tcPr>
          <w:p>
            <w:pPr>
              <w:ind w:left="380"/>
              <w:spacing w:after="0"/>
              <w:rPr>
                <w:sz w:val="20"/>
                <w:szCs w:val="20"/>
                <w:color w:val="auto"/>
              </w:rPr>
            </w:pPr>
            <w:r>
              <w:rPr>
                <w:rFonts w:ascii="Times New Roman" w:cs="Times New Roman" w:eastAsia="Times New Roman" w:hAnsi="Times New Roman"/>
                <w:sz w:val="18"/>
                <w:szCs w:val="18"/>
                <w:color w:val="231F20"/>
              </w:rPr>
              <w:t>ADSs not exceeding 10% of the number of issued shares of the Company (excluding</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(99.99%)</w:t>
            </w:r>
          </w:p>
        </w:tc>
        <w:tc>
          <w:tcPr>
            <w:tcW w:w="460" w:type="dxa"/>
            <w:vAlign w:val="bottom"/>
          </w:tcPr>
          <w:p>
            <w:pPr>
              <w:spacing w:after="0"/>
              <w:rPr>
                <w:sz w:val="18"/>
                <w:szCs w:val="18"/>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(0.01%)</w:t>
            </w:r>
          </w:p>
        </w:tc>
      </w:tr>
      <w:tr>
        <w:trPr>
          <w:trHeight w:val="234"/>
        </w:trPr>
        <w:tc>
          <w:tcPr>
            <w:tcW w:w="820" w:type="dxa"/>
            <w:vAlign w:val="bottom"/>
            <w:tcBorders>
              <w:left w:val="single" w:sz="8" w:color="231F20"/>
              <w:right w:val="single" w:sz="8" w:color="231F20"/>
            </w:tcBorders>
          </w:tcPr>
          <w:p>
            <w:pPr>
              <w:spacing w:after="0"/>
              <w:rPr>
                <w:sz w:val="20"/>
                <w:szCs w:val="20"/>
                <w:color w:val="auto"/>
              </w:rPr>
            </w:pPr>
          </w:p>
        </w:tc>
        <w:tc>
          <w:tcPr>
            <w:tcW w:w="6840" w:type="dxa"/>
            <w:vAlign w:val="bottom"/>
            <w:tcBorders>
              <w:right w:val="single" w:sz="8" w:color="231F20"/>
            </w:tcBorders>
          </w:tcPr>
          <w:p>
            <w:pPr>
              <w:ind w:left="380"/>
              <w:spacing w:after="0"/>
              <w:rPr>
                <w:sz w:val="20"/>
                <w:szCs w:val="20"/>
                <w:color w:val="auto"/>
              </w:rPr>
            </w:pPr>
            <w:r>
              <w:rPr>
                <w:rFonts w:ascii="Times New Roman" w:cs="Times New Roman" w:eastAsia="Times New Roman" w:hAnsi="Times New Roman"/>
                <w:sz w:val="18"/>
                <w:szCs w:val="18"/>
                <w:color w:val="231F20"/>
              </w:rPr>
              <w:t>any shares that are held as treasury shares).</w:t>
            </w:r>
          </w:p>
        </w:tc>
        <w:tc>
          <w:tcPr>
            <w:tcW w:w="1800" w:type="dxa"/>
            <w:vAlign w:val="bottom"/>
            <w:tcBorders>
              <w:right w:val="single" w:sz="8" w:color="231F20"/>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r>
      <w:tr>
        <w:trPr>
          <w:trHeight w:val="54"/>
        </w:trPr>
        <w:tc>
          <w:tcPr>
            <w:tcW w:w="820" w:type="dxa"/>
            <w:vAlign w:val="bottom"/>
            <w:tcBorders>
              <w:left w:val="single" w:sz="8" w:color="231F20"/>
              <w:right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5"/>
        </w:trPr>
        <w:tc>
          <w:tcPr>
            <w:tcW w:w="820" w:type="dxa"/>
            <w:vAlign w:val="bottom"/>
            <w:tcBorders>
              <w:left w:val="single" w:sz="8" w:color="231F20"/>
              <w:right w:val="single" w:sz="8" w:color="231F20"/>
            </w:tcBorders>
          </w:tcPr>
          <w:p>
            <w:pPr>
              <w:spacing w:after="0"/>
              <w:rPr>
                <w:sz w:val="21"/>
                <w:szCs w:val="21"/>
                <w:color w:val="auto"/>
              </w:rPr>
            </w:pP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w:t>
            </w:r>
            <w:r>
              <w:rPr>
                <w:rFonts w:ascii="Times New Roman" w:cs="Times New Roman" w:eastAsia="Times New Roman" w:hAnsi="Times New Roman"/>
                <w:sz w:val="8"/>
                <w:szCs w:val="8"/>
                <w:color w:val="231F20"/>
              </w:rPr>
              <w:t> </w:t>
            </w:r>
            <w:r>
              <w:rPr>
                <w:rFonts w:ascii="Times New Roman" w:cs="Times New Roman" w:eastAsia="Times New Roman" w:hAnsi="Times New Roman"/>
                <w:sz w:val="18"/>
                <w:szCs w:val="18"/>
                <w:color w:val="231F20"/>
              </w:rPr>
              <w:t>  To extend the authority given to the Directors pursuant to the ordinary resolution</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384,106,116</w:t>
            </w:r>
          </w:p>
        </w:tc>
        <w:tc>
          <w:tcPr>
            <w:tcW w:w="460" w:type="dxa"/>
            <w:vAlign w:val="bottom"/>
          </w:tcPr>
          <w:p>
            <w:pPr>
              <w:spacing w:after="0"/>
              <w:rPr>
                <w:sz w:val="21"/>
                <w:szCs w:val="21"/>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4,393,602</w:t>
            </w:r>
          </w:p>
        </w:tc>
      </w:tr>
      <w:tr>
        <w:trPr>
          <w:trHeight w:val="216"/>
        </w:trPr>
        <w:tc>
          <w:tcPr>
            <w:tcW w:w="820" w:type="dxa"/>
            <w:vAlign w:val="bottom"/>
            <w:tcBorders>
              <w:left w:val="single" w:sz="8" w:color="231F20"/>
              <w:right w:val="single" w:sz="8" w:color="231F20"/>
            </w:tcBorders>
          </w:tcPr>
          <w:p>
            <w:pPr>
              <w:spacing w:after="0"/>
              <w:rPr>
                <w:sz w:val="18"/>
                <w:szCs w:val="18"/>
                <w:color w:val="auto"/>
              </w:rPr>
            </w:pPr>
          </w:p>
        </w:tc>
        <w:tc>
          <w:tcPr>
            <w:tcW w:w="6840" w:type="dxa"/>
            <w:vAlign w:val="bottom"/>
            <w:tcBorders>
              <w:right w:val="single" w:sz="8" w:color="231F20"/>
            </w:tcBorders>
          </w:tcPr>
          <w:p>
            <w:pPr>
              <w:ind w:left="380"/>
              <w:spacing w:after="0"/>
              <w:rPr>
                <w:sz w:val="20"/>
                <w:szCs w:val="20"/>
                <w:color w:val="auto"/>
              </w:rPr>
            </w:pPr>
            <w:r>
              <w:rPr>
                <w:rFonts w:ascii="Times New Roman" w:cs="Times New Roman" w:eastAsia="Times New Roman" w:hAnsi="Times New Roman"/>
                <w:sz w:val="18"/>
                <w:szCs w:val="18"/>
                <w:color w:val="231F20"/>
              </w:rPr>
              <w:t>No. 4(A) to issue shares (including any sale and transfer of shares out of treasury that</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(98.87%)</w:t>
            </w:r>
          </w:p>
        </w:tc>
        <w:tc>
          <w:tcPr>
            <w:tcW w:w="460" w:type="dxa"/>
            <w:vAlign w:val="bottom"/>
          </w:tcPr>
          <w:p>
            <w:pPr>
              <w:spacing w:after="0"/>
              <w:rPr>
                <w:sz w:val="18"/>
                <w:szCs w:val="18"/>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20" w:type="dxa"/>
            <w:vAlign w:val="bottom"/>
            <w:tcBorders>
              <w:left w:val="single" w:sz="8" w:color="231F20"/>
              <w:right w:val="single" w:sz="8" w:color="231F20"/>
            </w:tcBorders>
          </w:tcPr>
          <w:p>
            <w:pPr>
              <w:spacing w:after="0"/>
              <w:rPr>
                <w:sz w:val="18"/>
                <w:szCs w:val="18"/>
                <w:color w:val="auto"/>
              </w:rPr>
            </w:pPr>
          </w:p>
        </w:tc>
        <w:tc>
          <w:tcPr>
            <w:tcW w:w="6840" w:type="dxa"/>
            <w:vAlign w:val="bottom"/>
            <w:tcBorders>
              <w:right w:val="single" w:sz="8" w:color="231F20"/>
            </w:tcBorders>
          </w:tcPr>
          <w:p>
            <w:pPr>
              <w:ind w:left="380"/>
              <w:spacing w:after="0"/>
              <w:rPr>
                <w:sz w:val="20"/>
                <w:szCs w:val="20"/>
                <w:color w:val="auto"/>
              </w:rPr>
            </w:pPr>
            <w:r>
              <w:rPr>
                <w:rFonts w:ascii="Times New Roman" w:cs="Times New Roman" w:eastAsia="Times New Roman" w:hAnsi="Times New Roman"/>
                <w:sz w:val="18"/>
                <w:szCs w:val="18"/>
                <w:color w:val="231F20"/>
              </w:rPr>
              <w:t>are held as treasury shares) and/or ADSs by adding to the number of issued shares of the</w:t>
            </w:r>
          </w:p>
        </w:tc>
        <w:tc>
          <w:tcPr>
            <w:tcW w:w="1800" w:type="dxa"/>
            <w:vAlign w:val="bottom"/>
            <w:tcBorders>
              <w:right w:val="single" w:sz="8" w:color="231F20"/>
            </w:tcBorders>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r>
      <w:tr>
        <w:trPr>
          <w:trHeight w:val="216"/>
        </w:trPr>
        <w:tc>
          <w:tcPr>
            <w:tcW w:w="820" w:type="dxa"/>
            <w:vAlign w:val="bottom"/>
            <w:tcBorders>
              <w:left w:val="single" w:sz="8" w:color="231F20"/>
              <w:right w:val="single" w:sz="8" w:color="231F20"/>
            </w:tcBorders>
          </w:tcPr>
          <w:p>
            <w:pPr>
              <w:spacing w:after="0"/>
              <w:rPr>
                <w:sz w:val="18"/>
                <w:szCs w:val="18"/>
                <w:color w:val="auto"/>
              </w:rPr>
            </w:pPr>
          </w:p>
        </w:tc>
        <w:tc>
          <w:tcPr>
            <w:tcW w:w="6840" w:type="dxa"/>
            <w:vAlign w:val="bottom"/>
            <w:tcBorders>
              <w:right w:val="single" w:sz="8" w:color="231F20"/>
            </w:tcBorders>
          </w:tcPr>
          <w:p>
            <w:pPr>
              <w:ind w:left="380"/>
              <w:spacing w:after="0"/>
              <w:rPr>
                <w:sz w:val="20"/>
                <w:szCs w:val="20"/>
                <w:color w:val="auto"/>
              </w:rPr>
            </w:pPr>
            <w:r>
              <w:rPr>
                <w:rFonts w:ascii="Times New Roman" w:cs="Times New Roman" w:eastAsia="Times New Roman" w:hAnsi="Times New Roman"/>
                <w:sz w:val="18"/>
                <w:szCs w:val="18"/>
                <w:color w:val="231F20"/>
              </w:rPr>
              <w:t>Company the number of shares and/or ADSs repurchased under the ordinary resolution</w:t>
            </w:r>
          </w:p>
        </w:tc>
        <w:tc>
          <w:tcPr>
            <w:tcW w:w="1800" w:type="dxa"/>
            <w:vAlign w:val="bottom"/>
            <w:tcBorders>
              <w:right w:val="single" w:sz="8" w:color="231F20"/>
            </w:tcBorders>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r>
      <w:tr>
        <w:trPr>
          <w:trHeight w:val="234"/>
        </w:trPr>
        <w:tc>
          <w:tcPr>
            <w:tcW w:w="820" w:type="dxa"/>
            <w:vAlign w:val="bottom"/>
            <w:tcBorders>
              <w:left w:val="single" w:sz="8" w:color="231F20"/>
              <w:right w:val="single" w:sz="8" w:color="231F20"/>
            </w:tcBorders>
          </w:tcPr>
          <w:p>
            <w:pPr>
              <w:spacing w:after="0"/>
              <w:rPr>
                <w:sz w:val="20"/>
                <w:szCs w:val="20"/>
                <w:color w:val="auto"/>
              </w:rPr>
            </w:pPr>
          </w:p>
        </w:tc>
        <w:tc>
          <w:tcPr>
            <w:tcW w:w="6840" w:type="dxa"/>
            <w:vAlign w:val="bottom"/>
            <w:tcBorders>
              <w:right w:val="single" w:sz="8" w:color="231F20"/>
            </w:tcBorders>
          </w:tcPr>
          <w:p>
            <w:pPr>
              <w:ind w:left="380"/>
              <w:spacing w:after="0"/>
              <w:rPr>
                <w:sz w:val="20"/>
                <w:szCs w:val="20"/>
                <w:color w:val="auto"/>
              </w:rPr>
            </w:pPr>
            <w:r>
              <w:rPr>
                <w:rFonts w:ascii="Times New Roman" w:cs="Times New Roman" w:eastAsia="Times New Roman" w:hAnsi="Times New Roman"/>
                <w:sz w:val="18"/>
                <w:szCs w:val="18"/>
                <w:color w:val="231F20"/>
              </w:rPr>
              <w:t>No. 4(B).</w:t>
            </w:r>
          </w:p>
        </w:tc>
        <w:tc>
          <w:tcPr>
            <w:tcW w:w="1800" w:type="dxa"/>
            <w:vAlign w:val="bottom"/>
            <w:tcBorders>
              <w:right w:val="single" w:sz="8" w:color="231F20"/>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r>
      <w:tr>
        <w:trPr>
          <w:trHeight w:val="54"/>
        </w:trPr>
        <w:tc>
          <w:tcPr>
            <w:tcW w:w="820" w:type="dxa"/>
            <w:vAlign w:val="bottom"/>
            <w:tcBorders>
              <w:left w:val="single" w:sz="8" w:color="231F20"/>
              <w:bottom w:val="single" w:sz="8" w:color="231F20"/>
              <w:right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1"/>
        </w:trPr>
        <w:tc>
          <w:tcPr>
            <w:tcW w:w="820" w:type="dxa"/>
            <w:vAlign w:val="bottom"/>
            <w:tcBorders>
              <w:left w:val="single" w:sz="8" w:color="231F20"/>
            </w:tcBorders>
          </w:tcPr>
          <w:p>
            <w:pPr>
              <w:spacing w:after="0"/>
              <w:rPr>
                <w:sz w:val="20"/>
                <w:szCs w:val="20"/>
                <w:color w:val="auto"/>
              </w:rPr>
            </w:pPr>
          </w:p>
        </w:tc>
        <w:tc>
          <w:tcPr>
            <w:tcW w:w="6840" w:type="dxa"/>
            <w:vAlign w:val="bottom"/>
            <w:tcBorders>
              <w:right w:val="single" w:sz="8" w:color="231F20"/>
            </w:tcBorders>
          </w:tcPr>
          <w:p>
            <w:pPr>
              <w:spacing w:after="0"/>
              <w:rPr>
                <w:sz w:val="20"/>
                <w:szCs w:val="20"/>
                <w:color w:val="auto"/>
              </w:rPr>
            </w:pPr>
          </w:p>
        </w:tc>
        <w:tc>
          <w:tcPr>
            <w:tcW w:w="226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No. of Votes</w:t>
            </w:r>
          </w:p>
        </w:tc>
        <w:tc>
          <w:tcPr>
            <w:tcW w:w="1320" w:type="dxa"/>
            <w:vAlign w:val="bottom"/>
            <w:tcBorders>
              <w:right w:val="single" w:sz="8" w:color="231F20"/>
            </w:tcBorders>
          </w:tcPr>
          <w:p>
            <w:pPr>
              <w:spacing w:after="0"/>
              <w:rPr>
                <w:sz w:val="20"/>
                <w:szCs w:val="20"/>
                <w:color w:val="auto"/>
              </w:rPr>
            </w:pPr>
          </w:p>
        </w:tc>
      </w:tr>
      <w:tr>
        <w:trPr>
          <w:trHeight w:val="292"/>
        </w:trPr>
        <w:tc>
          <w:tcPr>
            <w:tcW w:w="820" w:type="dxa"/>
            <w:vAlign w:val="bottom"/>
            <w:tcBorders>
              <w:left w:val="single" w:sz="8" w:color="231F20"/>
            </w:tcBorders>
          </w:tcPr>
          <w:p>
            <w:pPr>
              <w:spacing w:after="0"/>
              <w:rPr>
                <w:sz w:val="24"/>
                <w:szCs w:val="24"/>
                <w:color w:val="auto"/>
              </w:rPr>
            </w:pPr>
          </w:p>
        </w:tc>
        <w:tc>
          <w:tcPr>
            <w:tcW w:w="6840" w:type="dxa"/>
            <w:vAlign w:val="bottom"/>
            <w:tcBorders>
              <w:right w:val="single" w:sz="8" w:color="231F20"/>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3580" w:type="dxa"/>
            <w:vAlign w:val="bottom"/>
            <w:tcBorders>
              <w:bottom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(Approximate %)</w:t>
            </w:r>
          </w:p>
        </w:tc>
      </w:tr>
      <w:tr>
        <w:trPr>
          <w:trHeight w:val="264"/>
        </w:trPr>
        <w:tc>
          <w:tcPr>
            <w:tcW w:w="820" w:type="dxa"/>
            <w:vAlign w:val="bottom"/>
            <w:tcBorders>
              <w:left w:val="single" w:sz="8" w:color="231F20"/>
            </w:tcBorders>
          </w:tcPr>
          <w:p>
            <w:pPr>
              <w:spacing w:after="0"/>
              <w:rPr>
                <w:sz w:val="22"/>
                <w:szCs w:val="22"/>
                <w:color w:val="auto"/>
              </w:rPr>
            </w:pPr>
          </w:p>
        </w:tc>
        <w:tc>
          <w:tcPr>
            <w:tcW w:w="6840" w:type="dxa"/>
            <w:vAlign w:val="bottom"/>
            <w:tcBorders>
              <w:right w:val="single" w:sz="8" w:color="231F20"/>
            </w:tcBorders>
          </w:tcPr>
          <w:p>
            <w:pPr>
              <w:spacing w:after="0"/>
              <w:rPr>
                <w:sz w:val="22"/>
                <w:szCs w:val="22"/>
                <w:color w:val="auto"/>
              </w:rPr>
            </w:pPr>
          </w:p>
        </w:tc>
        <w:tc>
          <w:tcPr>
            <w:tcW w:w="1800" w:type="dxa"/>
            <w:vAlign w:val="bottom"/>
            <w:tcBorders>
              <w:right w:val="single" w:sz="8" w:color="231F20"/>
            </w:tcBorders>
          </w:tcPr>
          <w:p>
            <w:pPr>
              <w:ind w:left="70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460" w:type="dxa"/>
            <w:vAlign w:val="bottom"/>
          </w:tcPr>
          <w:p>
            <w:pPr>
              <w:spacing w:after="0"/>
              <w:rPr>
                <w:sz w:val="22"/>
                <w:szCs w:val="22"/>
                <w:color w:val="auto"/>
              </w:rPr>
            </w:pPr>
          </w:p>
        </w:tc>
        <w:tc>
          <w:tcPr>
            <w:tcW w:w="132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231F20"/>
              </w:rPr>
              <w:t>AGAINST</w:t>
            </w:r>
          </w:p>
        </w:tc>
      </w:tr>
      <w:tr>
        <w:trPr>
          <w:trHeight w:val="54"/>
        </w:trPr>
        <w:tc>
          <w:tcPr>
            <w:tcW w:w="820" w:type="dxa"/>
            <w:vAlign w:val="bottom"/>
            <w:tcBorders>
              <w:left w:val="single" w:sz="8" w:color="231F20"/>
              <w:bottom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r>
        <w:trPr>
          <w:trHeight w:val="245"/>
        </w:trPr>
        <w:tc>
          <w:tcPr>
            <w:tcW w:w="82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5.</w:t>
            </w: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To consider and approve the proposed amendments of the existing articles of association of</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387,991,799</w:t>
            </w:r>
          </w:p>
        </w:tc>
        <w:tc>
          <w:tcPr>
            <w:tcW w:w="460" w:type="dxa"/>
            <w:vAlign w:val="bottom"/>
          </w:tcPr>
          <w:p>
            <w:pPr>
              <w:spacing w:after="0"/>
              <w:rPr>
                <w:sz w:val="21"/>
                <w:szCs w:val="21"/>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507,909</w:t>
            </w:r>
          </w:p>
        </w:tc>
      </w:tr>
      <w:tr>
        <w:trPr>
          <w:trHeight w:val="234"/>
        </w:trPr>
        <w:tc>
          <w:tcPr>
            <w:tcW w:w="820" w:type="dxa"/>
            <w:vAlign w:val="bottom"/>
            <w:tcBorders>
              <w:left w:val="single" w:sz="8" w:color="231F20"/>
              <w:right w:val="single" w:sz="8" w:color="231F20"/>
            </w:tcBorders>
          </w:tcPr>
          <w:p>
            <w:pPr>
              <w:spacing w:after="0"/>
              <w:rPr>
                <w:sz w:val="20"/>
                <w:szCs w:val="20"/>
                <w:color w:val="auto"/>
              </w:rPr>
            </w:pPr>
          </w:p>
        </w:tc>
        <w:tc>
          <w:tcPr>
            <w:tcW w:w="68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the Company by way of adopting the new articles of association of the Company.</w:t>
            </w:r>
          </w:p>
        </w:tc>
        <w:tc>
          <w:tcPr>
            <w:tcW w:w="1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(99.87%)</w:t>
            </w:r>
          </w:p>
        </w:tc>
        <w:tc>
          <w:tcPr>
            <w:tcW w:w="460" w:type="dxa"/>
            <w:vAlign w:val="bottom"/>
          </w:tcPr>
          <w:p>
            <w:pPr>
              <w:spacing w:after="0"/>
              <w:rPr>
                <w:sz w:val="20"/>
                <w:szCs w:val="20"/>
                <w:color w:val="auto"/>
              </w:rPr>
            </w:pPr>
          </w:p>
        </w:tc>
        <w:tc>
          <w:tcPr>
            <w:tcW w:w="132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(0.13%)</w:t>
            </w:r>
          </w:p>
        </w:tc>
      </w:tr>
      <w:tr>
        <w:trPr>
          <w:trHeight w:val="54"/>
        </w:trPr>
        <w:tc>
          <w:tcPr>
            <w:tcW w:w="820" w:type="dxa"/>
            <w:vAlign w:val="bottom"/>
            <w:tcBorders>
              <w:left w:val="single" w:sz="8" w:color="231F20"/>
              <w:bottom w:val="single" w:sz="8" w:color="231F20"/>
              <w:right w:val="single" w:sz="8" w:color="231F20"/>
            </w:tcBorders>
          </w:tcPr>
          <w:p>
            <w:pPr>
              <w:spacing w:after="0"/>
              <w:rPr>
                <w:sz w:val="4"/>
                <w:szCs w:val="4"/>
                <w:color w:val="auto"/>
              </w:rPr>
            </w:pPr>
          </w:p>
        </w:tc>
        <w:tc>
          <w:tcPr>
            <w:tcW w:w="6840" w:type="dxa"/>
            <w:vAlign w:val="bottom"/>
            <w:tcBorders>
              <w:bottom w:val="single" w:sz="8" w:color="231F20"/>
              <w:right w:val="single" w:sz="8" w:color="231F20"/>
            </w:tcBorders>
          </w:tcPr>
          <w:p>
            <w:pPr>
              <w:spacing w:after="0"/>
              <w:rPr>
                <w:sz w:val="4"/>
                <w:szCs w:val="4"/>
                <w:color w:val="auto"/>
              </w:rPr>
            </w:pPr>
          </w:p>
        </w:tc>
        <w:tc>
          <w:tcPr>
            <w:tcW w:w="1800" w:type="dxa"/>
            <w:vAlign w:val="bottom"/>
            <w:tcBorders>
              <w:bottom w:val="single" w:sz="8" w:color="231F20"/>
              <w:right w:val="single" w:sz="8" w:color="231F20"/>
            </w:tcBorders>
          </w:tcPr>
          <w:p>
            <w:pPr>
              <w:spacing w:after="0"/>
              <w:rPr>
                <w:sz w:val="4"/>
                <w:szCs w:val="4"/>
                <w:color w:val="auto"/>
              </w:rPr>
            </w:pPr>
          </w:p>
        </w:tc>
        <w:tc>
          <w:tcPr>
            <w:tcW w:w="460" w:type="dxa"/>
            <w:vAlign w:val="bottom"/>
            <w:tcBorders>
              <w:bottom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 xml:space="preserve">Note: </w:t>
      </w:r>
      <w:r>
        <w:rPr>
          <w:rFonts w:ascii="Times New Roman" w:cs="Times New Roman" w:eastAsia="Times New Roman" w:hAnsi="Times New Roman"/>
          <w:sz w:val="18"/>
          <w:szCs w:val="18"/>
          <w:color w:val="231F20"/>
        </w:rPr>
        <w:t>Please refer to the AGM Notices for the full text of the resolutions above.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As more than 50% of votes were cast in favour of each of the above ordinary resolutions numbered 1 to 4, and more than 75% of votes were cast in favour of the above special resolution numbered 5, all of the above resolutions were duly passed at the AGM.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As at the date of the AGM, the total number of issued Shares was 650,299,000 Shares. There were no treasury Shares or repurchased Shares pending for cancellation held by the Company. Futu Trustee Limited (in its capacity as the trustee of the share award scheme adopted by the Company on June 24, 2022) held 61,933,000 Shares, representing 9.52% of the issued share capital of the Company as at the date of the AGM, was required to abstain and did abstain from voting on the resolutions proposed at the AGM. Accordingly, the total number of Shares entitling the Shareholders to attend and vote for or against the resolutions proposed at the AGM was 588,366,000 Shares. Save as the above, there were no Shares entitling the Shareholders to attend and abstain from voting in favour of any resolutions proposed at the AGM as set out in Rule 13.40 of the Listing Rules, no Shareholders were required to abstain from voting at the AGM under the Listing Rules, none of the Shareholders has stated their intention in the Circulars to vote against or to abstain from voting on any of the resolutions proposed at the AGM and no Shares were actually voted but excluded from calculating the poll results of the resolutions proposed at the AGM.</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Company’s branch share registrar in Hong Kong, Computershare Hong Kong Investor Services Limited, was appointed as the scrutineer at the AGM for the purpose of vote-taking.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All of the Directors, namely Ms. SHU Ping, Mr. LI Yu, Mr. YOON Daejin, Ms. JIANG Bingyu, Mr. TAN Kang Uei, Anthony, Mr. TEO Ser Luck and Mr. LIEN Jown Jing Vincent, attended the AGM either in person or by electronic means.</w:t>
      </w:r>
    </w:p>
    <w:p>
      <w:pPr>
        <w:spacing w:after="0" w:line="16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231F20"/>
        </w:rPr>
        <w:t>SUPER HI INTERNATIONAL HOLDING LTD.</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231F20"/>
        </w:rPr>
        <w:t>Ms. SHU Ping</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231F20"/>
        </w:rPr>
        <w:t>Chairperson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Singapore, June 12,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As of the date of this announcement, the Board comprises Ms. SHU Ping as the chairperson and non-executive Director; Mr. LI Yu, Mr. YOON Daejin and Ms. JIANG Bingyu as executive Directors; and Mr. TAN Kang Uei, Anthony, Mr. TEO Ser Luck and Mr. LIEN Jown Jing Vincent as independent non-executive Directors.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2026-06-12T05:44:55Z</dcterms:created>
  <dcterms:modified xsi:type="dcterms:W3CDTF">2026-06-12T05:44:55Z</dcterms:modified>
</cp:coreProperties>
</file>