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666d1_6k.htm"/>
      <w:bookmarkStart w:id="1" w:name="kstm2624666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4666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4666d1_ex99-1.htm">
              <w:r>
                <w:rPr>
                  <w:rStyle w:val="InternetLink"/>
                  <w:rFonts w:ascii="Times New Roman;Times;Serif" w:hAnsi="Times New Roman;Times;Serif"/>
                  <w:sz w:val="20"/>
                </w:rPr>
                <w:t>Change of Joint Company Secretary, Authorized Representative and Chief Financial Officer and Waiver from Strict Compliance with Rules 3.28 and 8.17 of the Listing Rules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4666d1_ex99-1.htm"/>
      <w:bookmarkStart w:id="3" w:name="kstm2624666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383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590550"/>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特海国际控股有限公司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9658; NASDAQ Symbol: HDL)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OF JOINT COMPANY SECRETARY, AUTHORIZED </w:t>
        <w:br/>
        <w:t>REPRESENTATIVE AND CHIEF FINANCIAL OFFICER</w:t>
        <w:br/>
        <w:t>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FROM STRICT COMPLIANCE WITH</w:t>
        <w:br/>
        <w:t>RULES 3.28 AND 8.17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OF JOINT COMPANY SECRETARY, AUTHORIZED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REPRESENTATIVE AND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directors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of SUPER HI INTERNATIONAL HOLDING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announces that Ms. Qu Cong (“</w:t>
      </w:r>
      <w:r>
        <w:rPr>
          <w:rFonts w:ascii="Times New Roman;Times;Serif" w:hAnsi="Times New Roman;Times;Serif"/>
          <w:b/>
          <w:i w:val="false"/>
          <w:caps w:val="false"/>
          <w:smallCaps w:val="false"/>
          <w:sz w:val="20"/>
        </w:rPr>
        <w:t>Ms. Qu</w:t>
      </w:r>
      <w:r>
        <w:rPr>
          <w:rFonts w:ascii="Times New Roman;Times;Serif" w:hAnsi="Times New Roman;Times;Serif"/>
          <w:b w:val="false"/>
          <w:i w:val="false"/>
          <w:caps w:val="false"/>
          <w:smallCaps w:val="false"/>
          <w:sz w:val="20"/>
        </w:rPr>
        <w:t>”) has tendered her resignation as a joint company secretary (the “</w:t>
      </w:r>
      <w:r>
        <w:rPr>
          <w:rFonts w:ascii="Times New Roman;Times;Serif" w:hAnsi="Times New Roman;Times;Serif"/>
          <w:b/>
          <w:i w:val="false"/>
          <w:caps w:val="false"/>
          <w:smallCaps w:val="false"/>
          <w:sz w:val="20"/>
        </w:rPr>
        <w:t>Joint Company Secretary</w:t>
      </w:r>
      <w:r>
        <w:rPr>
          <w:rFonts w:ascii="Times New Roman;Times;Serif" w:hAnsi="Times New Roman;Times;Serif"/>
          <w:b w:val="false"/>
          <w:i w:val="false"/>
          <w:caps w:val="false"/>
          <w:smallCaps w:val="false"/>
          <w:sz w:val="20"/>
        </w:rPr>
        <w:t>”), an authorized representative (the “</w:t>
      </w:r>
      <w:r>
        <w:rPr>
          <w:rFonts w:ascii="Times New Roman;Times;Serif" w:hAnsi="Times New Roman;Times;Serif"/>
          <w:b/>
          <w:i w:val="false"/>
          <w:caps w:val="false"/>
          <w:smallCaps w:val="false"/>
          <w:sz w:val="20"/>
        </w:rPr>
        <w:t>Authorized Representative</w:t>
      </w:r>
      <w:r>
        <w:rPr>
          <w:rFonts w:ascii="Times New Roman;Times;Serif" w:hAnsi="Times New Roman;Times;Serif"/>
          <w:b w:val="false"/>
          <w:i w:val="false"/>
          <w:caps w:val="false"/>
          <w:smallCaps w:val="false"/>
          <w:sz w:val="20"/>
        </w:rPr>
        <w:t>”) under Rule 3.05 of the Rules Governing the Listing of Securities (the “</w:t>
      </w:r>
      <w:r>
        <w:rPr>
          <w:rFonts w:ascii="Times New Roman;Times;Serif" w:hAnsi="Times New Roman;Times;Serif"/>
          <w:b/>
          <w:i w:val="false"/>
          <w:caps w:val="false"/>
          <w:smallCaps w:val="false"/>
          <w:sz w:val="20"/>
        </w:rPr>
        <w:t>Listing Rules</w:t>
      </w:r>
      <w:r>
        <w:rPr>
          <w:rFonts w:ascii="Times New Roman;Times;Serif" w:hAnsi="Times New Roman;Times;Serif"/>
          <w:b w:val="false"/>
          <w:i w:val="false"/>
          <w:caps w:val="false"/>
          <w:smallCaps w:val="false"/>
          <w:sz w:val="20"/>
        </w:rPr>
        <w:t>”) on The Stock Exchange of Hong Kong Limited (the “</w:t>
      </w:r>
      <w:r>
        <w:rPr>
          <w:rFonts w:ascii="Times New Roman;Times;Serif" w:hAnsi="Times New Roman;Times;Serif"/>
          <w:b/>
          <w:i w:val="false"/>
          <w:caps w:val="false"/>
          <w:smallCaps w:val="false"/>
          <w:sz w:val="20"/>
        </w:rPr>
        <w:t>Stock Exchange</w:t>
      </w:r>
      <w:r>
        <w:rPr>
          <w:rFonts w:ascii="Times New Roman;Times;Serif" w:hAnsi="Times New Roman;Times;Serif"/>
          <w:b w:val="false"/>
          <w:i w:val="false"/>
          <w:caps w:val="false"/>
          <w:smallCaps w:val="false"/>
          <w:sz w:val="20"/>
        </w:rPr>
        <w:t>”) and Chief Financial Officer (the “</w:t>
      </w:r>
      <w:r>
        <w:rPr>
          <w:rFonts w:ascii="Times New Roman;Times;Serif" w:hAnsi="Times New Roman;Times;Serif"/>
          <w:b/>
          <w:i w:val="false"/>
          <w:caps w:val="false"/>
          <w:smallCaps w:val="false"/>
          <w:sz w:val="20"/>
        </w:rPr>
        <w:t>Chief Financial Officer</w:t>
      </w:r>
      <w:r>
        <w:rPr>
          <w:rFonts w:ascii="Times New Roman;Times;Serif" w:hAnsi="Times New Roman;Times;Serif"/>
          <w:b w:val="false"/>
          <w:i w:val="false"/>
          <w:caps w:val="false"/>
          <w:smallCaps w:val="false"/>
          <w:sz w:val="20"/>
        </w:rPr>
        <w:t>”) of the Company with effect from September 2, 2026. Ms. Qu will join Haidilao International Holding Ltd. (“</w:t>
      </w:r>
      <w:r>
        <w:rPr>
          <w:rFonts w:ascii="Times New Roman;Times;Serif" w:hAnsi="Times New Roman;Times;Serif"/>
          <w:b/>
          <w:i w:val="false"/>
          <w:caps w:val="false"/>
          <w:smallCaps w:val="false"/>
          <w:sz w:val="20"/>
        </w:rPr>
        <w:t>Haidilao International</w:t>
      </w:r>
      <w:r>
        <w:rPr>
          <w:rFonts w:ascii="Times New Roman;Times;Serif" w:hAnsi="Times New Roman;Times;Serif"/>
          <w:b w:val="false"/>
          <w:i w:val="false"/>
          <w:caps w:val="false"/>
          <w:smallCaps w:val="false"/>
          <w:sz w:val="20"/>
        </w:rPr>
        <w:t>”, stock code: 6862), a company listed on the Stock Exchange and principally engaged in the operation of restaurants and related delivery business in the Greater China regions, participate in central support functions and related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Qu has confirmed that she has no disagreement with the Board, and there is no other matter relating to her resignation that needs to be brought to the attention of the shareholders of the Company or the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further announces that Ms. Li Lu (“</w:t>
      </w:r>
      <w:r>
        <w:rPr>
          <w:rFonts w:ascii="Times New Roman;Times;Serif" w:hAnsi="Times New Roman;Times;Serif"/>
          <w:b/>
          <w:i w:val="false"/>
          <w:caps w:val="false"/>
          <w:smallCaps w:val="false"/>
          <w:sz w:val="20"/>
        </w:rPr>
        <w:t>Ms. Li</w:t>
      </w:r>
      <w:r>
        <w:rPr>
          <w:rFonts w:ascii="Times New Roman;Times;Serif" w:hAnsi="Times New Roman;Times;Serif"/>
          <w:b w:val="false"/>
          <w:i w:val="false"/>
          <w:caps w:val="false"/>
          <w:smallCaps w:val="false"/>
          <w:sz w:val="20"/>
        </w:rPr>
        <w:t>”) has been appointed as a Joint Company Secretary, the Authorized Representative and the Chief Financial Officer with effect from September 2, 2026. Ms. Li will act as the Joint Company Secretary of the Company together with Ms. Oh Sim Yee (“</w:t>
      </w:r>
      <w:r>
        <w:rPr>
          <w:rFonts w:ascii="Times New Roman;Times;Serif" w:hAnsi="Times New Roman;Times;Serif"/>
          <w:b/>
          <w:i w:val="false"/>
          <w:caps w:val="false"/>
          <w:smallCaps w:val="false"/>
          <w:sz w:val="20"/>
        </w:rPr>
        <w:t>Ms. Oh</w:t>
      </w:r>
      <w:r>
        <w:rPr>
          <w:rFonts w:ascii="Times New Roman;Times;Serif" w:hAnsi="Times New Roman;Times;Serif"/>
          <w:b w:val="false"/>
          <w:i w:val="false"/>
          <w:caps w:val="false"/>
          <w:smallCaps w:val="false"/>
          <w:sz w:val="20"/>
        </w:rPr>
        <w:t>”), the other Joint Company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details of Ms. Li and Ms. Oh are set out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appointment as mentioned above, Ms. Li served as the Deputy Chief Financial Officer of the Company. She has over 13 years of experience in financial management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Ms. Li rejoined Haidilao International Group in November 2021 as the financial manager of overseas business, where she was responsible for financial management and accounting for the non-Chinese Mainland region. From December 2019 to October 2021, Ms. Li served as the deputy general manager and finance director of Honghuotai Network Technology Co., Ltd. (</w:t>
      </w:r>
      <w:r>
        <w:rPr>
          <w:rFonts w:eastAsia="Times New Roman;Times;Serif"/>
          <w:b w:val="false"/>
          <w:i w:val="false"/>
          <w:caps w:val="false"/>
          <w:smallCaps w:val="false"/>
          <w:sz w:val="20"/>
        </w:rPr>
        <w:t>紅火台網路科技有限公司</w:t>
      </w:r>
      <w:r>
        <w:rPr>
          <w:rFonts w:ascii="Times New Roman;Times;Serif" w:hAnsi="Times New Roman;Times;Serif"/>
          <w:b w:val="false"/>
          <w:i w:val="false"/>
          <w:caps w:val="false"/>
          <w:smallCaps w:val="false"/>
          <w:sz w:val="20"/>
        </w:rPr>
        <w:t>), where she was responsible for financial management and corporate operations and management. From July 2018 to December 2019, she served as a financial analysis manager of Haihongda (Beijing) Catering Management Co., Ltd (</w:t>
      </w:r>
      <w:r>
        <w:rPr>
          <w:rFonts w:eastAsia="Times New Roman;Times;Serif"/>
          <w:b w:val="false"/>
          <w:i w:val="false"/>
          <w:caps w:val="false"/>
          <w:smallCaps w:val="false"/>
          <w:sz w:val="20"/>
        </w:rPr>
        <w:t>海鴻達</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北京</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餐飲管理有限 公司</w:t>
      </w:r>
      <w:r>
        <w:rPr>
          <w:rFonts w:ascii="Times New Roman;Times;Serif" w:hAnsi="Times New Roman;Times;Serif"/>
          <w:b w:val="false"/>
          <w:i w:val="false"/>
          <w:caps w:val="false"/>
          <w:smallCaps w:val="false"/>
          <w:sz w:val="20"/>
        </w:rPr>
        <w:t>). From April 2016 to April 2018, she worked as a financial analyst at Amazon (CHINA) Holding Company Limited (</w:t>
      </w:r>
      <w:r>
        <w:rPr>
          <w:rFonts w:eastAsia="Times New Roman;Times;Serif"/>
          <w:b w:val="false"/>
          <w:i w:val="false"/>
          <w:caps w:val="false"/>
          <w:smallCaps w:val="false"/>
          <w:sz w:val="20"/>
        </w:rPr>
        <w:t>亞馬遜</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中國</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投資有限公司</w:t>
      </w:r>
      <w:r>
        <w:rPr>
          <w:rFonts w:ascii="Times New Roman;Times;Serif" w:hAnsi="Times New Roman;Times;Serif"/>
          <w:b w:val="false"/>
          <w:i w:val="false"/>
          <w:caps w:val="false"/>
          <w:smallCaps w:val="false"/>
          <w:sz w:val="20"/>
        </w:rPr>
        <w:t>), where she was principally responsible for financial operations and forecasting analysis. From August 2013 to April 2016, she worked at Mars Foods (China) Co., Ltd. (</w:t>
      </w:r>
      <w:r>
        <w:rPr>
          <w:rFonts w:eastAsia="Times New Roman;Times;Serif"/>
          <w:b w:val="false"/>
          <w:i w:val="false"/>
          <w:caps w:val="false"/>
          <w:smallCaps w:val="false"/>
          <w:sz w:val="20"/>
        </w:rPr>
        <w:t>瑪氏食品</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中國</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有限公司</w:t>
      </w:r>
      <w:r>
        <w:rPr>
          <w:rFonts w:ascii="Times New Roman;Times;Serif" w:hAnsi="Times New Roman;Times;Serif"/>
          <w:b w:val="false"/>
          <w:i w:val="false"/>
          <w:caps w:val="false"/>
          <w:smallCaps w:val="false"/>
          <w:sz w:val="20"/>
        </w:rPr>
        <w:t>), with her last position being a concur functional expert, where she was principally responsible for accounting and participating in the construction of the business process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 obtained the Master of Accounting from Macquarie University in Australia in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Oh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Oh is a manager of SWCS Corporate Services Group (Hong Kong) Limited and has over 13 years of experiences in the corporate secretarial field. She has been an associate member of both The Hong Kong Chartered Governance Institute and The Chartered Governance Institute in the United Kingdom since 2017. In addition, she holds a Bachelor of Business Degree in Accounting from the Victoria University,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FROM STRICT COMPLIANCE WITH RULES 3.28 AND 8.17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8.17 of the Listing Rules, the issuer must appoint a company secretary who meets the requirements under Rule 3.28 of the Listing Rules. Rule 3.28 of the Listing Rules provides that an issuer must appoint as its company secretary an individual who, by virtue of his/her academic or professional qualifications or relevant experience, is, in the opinion of the Stock Exchange, capable of discharging the functions of a company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 currently does not possess the academic or professional qualifications of a company secretary as required under Rule 3.28 of Listing Rules. However, the Company considers that Ms. Li is capable of discharging the functions of a Joint Company Secretary by virtue of her knowledge and experience and it is beneficial to the Group as a whole to appoint Ms. Li as a Joint Company Secretary. Therefore, the Company has applied for, and the Stock Exchange has granted a waiver (the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to the Company from strict compliance with the requirements under Rules 3.28 and 8.17 of the Listing Rules for a period of three years from the date of appointment of Ms. Li as a Joint Company Secretary (the “</w:t>
      </w:r>
      <w:r>
        <w:rPr>
          <w:rFonts w:ascii="Times New Roman;Times;Serif" w:hAnsi="Times New Roman;Times;Serif"/>
          <w:b/>
          <w:i w:val="false"/>
          <w:caps w:val="false"/>
          <w:smallCaps w:val="false"/>
          <w:sz w:val="20"/>
        </w:rPr>
        <w:t>Waiver Period</w:t>
      </w:r>
      <w:r>
        <w:rPr>
          <w:rFonts w:ascii="Times New Roman;Times;Serif" w:hAnsi="Times New Roman;Times;Serif"/>
          <w:b w:val="false"/>
          <w:i w:val="false"/>
          <w:caps w:val="false"/>
          <w:smallCaps w:val="false"/>
          <w:sz w:val="20"/>
        </w:rPr>
        <w:t>”) on the conditions that:</w:t>
      </w:r>
    </w:p>
    <w:p>
      <w:pPr>
        <w:pStyle w:val="TextBody"/>
        <w:bidi w:val="0"/>
        <w:spacing w:before="0" w:after="0"/>
        <w:ind w:left="0" w:right="0" w:hanging="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0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8225" w:type="dxa"/>
            <w:tcBorders/>
            <w:vAlign w:val="center"/>
          </w:tcPr>
          <w:p>
            <w:pPr>
              <w:pStyle w:val="TableContents"/>
              <w:bidi w:val="0"/>
              <w:spacing w:before="0" w:after="283"/>
              <w:jc w:val="both"/>
              <w:rPr>
                <w:sz w:val="20"/>
              </w:rPr>
            </w:pPr>
            <w:r>
              <w:rPr>
                <w:sz w:val="20"/>
              </w:rPr>
              <w:t>Ms. Li must be assisted by Ms. Oh, the other Joint Company Secretary, during the Waiver Period; and</w:t>
            </w:r>
          </w:p>
        </w:tc>
      </w:tr>
    </w:tbl>
    <w:p>
      <w:pPr>
        <w:pStyle w:val="TextBody"/>
        <w:bidi w:val="0"/>
        <w:spacing w:before="0" w:after="0"/>
        <w:ind w:left="0" w:right="0" w:hanging="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6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(ii)</w:t>
            </w:r>
          </w:p>
        </w:tc>
        <w:tc>
          <w:tcPr>
            <w:tcW w:w="7820" w:type="dxa"/>
            <w:tcBorders/>
            <w:vAlign w:val="center"/>
          </w:tcPr>
          <w:p>
            <w:pPr>
              <w:pStyle w:val="TableContents"/>
              <w:bidi w:val="0"/>
              <w:spacing w:before="0" w:after="283"/>
              <w:jc w:val="both"/>
              <w:rPr>
                <w:sz w:val="20"/>
              </w:rPr>
            </w:pPr>
            <w:r>
              <w:rPr>
                <w:sz w:val="20"/>
              </w:rPr>
              <w:t>the Waiver could be revoked if there are material breaches of the Listing Rules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end of the Waiver Period, the Company must demonstrate and seek the confirmation from the Stock Exchange that Ms. Li, having had the benefit of Ms. Oh’s assistance during the Waiver Period, has attained the relevant experience and is capable of discharging the functions of company secretary under Rule 3.28 of the Listing Rules, such that a further waiver will not be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would like to take this opportunity to express its gratitude to Ms. Qu for her contribution to the Company during her tenure of service and welcome Ms. Li on her new appointments.</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75"/>
        <w:gridCol w:w="4100"/>
      </w:tblGrid>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SHU Ping</w:t>
            </w:r>
          </w:p>
        </w:tc>
      </w:tr>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SHU Ping as the chairperson and non-executive Director; Mr. LI Yu, Mr. YOON Daejin and Ms. JIANG Bingyu as executive Directors; and Mr. TAN Kang Uei, Anthony, Mr. TEO Ser Luck and Mr. LIEN Jown Jing Vincent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1295</Words>
  <Characters>6475</Characters>
  <CharactersWithSpaces>7739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