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311785</wp:posOffset>
            </wp:positionV>
            <wp:extent cx="713232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346075</wp:posOffset>
            </wp:positionV>
            <wp:extent cx="7132320" cy="82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142875</wp:posOffset>
            </wp:positionV>
            <wp:extent cx="713232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6" w:lineRule="exact"/>
        <w:rPr>
          <w:sz w:val="24"/>
          <w:szCs w:val="24"/>
          <w:color w:val="auto"/>
        </w:rPr>
      </w:pPr>
    </w:p>
    <w:p>
      <w:pPr>
        <w:ind w:left="51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6-K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REPORT OF FOREIGN PRIVATE ISSUER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PURSUANT TO RULE 13a-16 OR 15d-16 UNDER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THE SECURITIES EXCHANGE ACT OF 1934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 the month of May 2026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42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Commission File Number: 001-42101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156845</wp:posOffset>
            </wp:positionV>
            <wp:extent cx="71323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SUPER HI INTERNATIONAL HOLDING LTD.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161290</wp:posOffset>
            </wp:positionV>
            <wp:extent cx="713232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1 Paya Lebar Link, #09-04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PLQ 1 Paya Lebar Quarter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Singapore 408533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0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+65 6378 1921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(Address of principal executive offices)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Indicate by check mark whether the registrant files or will file annual reports under cover of Form 20-F or Form 40-F.</w:t>
      </w:r>
    </w:p>
    <w:p>
      <w:pPr>
        <w:spacing w:after="0" w:line="196" w:lineRule="exact"/>
        <w:rPr>
          <w:sz w:val="24"/>
          <w:szCs w:val="24"/>
          <w:color w:val="auto"/>
        </w:rPr>
      </w:pPr>
    </w:p>
    <w:p>
      <w:pPr>
        <w:ind w:left="4460"/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 xml:space="preserve">Form 20-F 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☒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                  Form 40-F </w:t>
      </w:r>
      <w:r>
        <w:rPr>
          <w:rFonts w:ascii="MS PGothic" w:cs="MS PGothic" w:eastAsia="MS PGothic" w:hAnsi="MS PGothic"/>
          <w:sz w:val="18"/>
          <w:szCs w:val="18"/>
          <w:color w:val="auto"/>
        </w:rPr>
        <w:t>☐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180340</wp:posOffset>
            </wp:positionV>
            <wp:extent cx="71323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206375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660400</wp:posOffset>
            </wp:positionV>
            <wp:extent cx="71323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779" w:right="1440" w:bottom="1440" w:gutter="0" w:footer="0" w:header="0"/>
        </w:sectPr>
      </w:pPr>
    </w:p>
    <w:bookmarkStart w:id="1" w:name="page2"/>
    <w:bookmarkEnd w:id="1"/>
    <w:p>
      <w:pPr>
        <w:jc w:val="right"/>
        <w:ind w:right="397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Index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No.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b w:val="1"/>
          <w:bCs w:val="1"/>
          <w:color w:val="auto"/>
        </w:rPr>
        <w:t>Description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19685</wp:posOffset>
            </wp:positionV>
            <wp:extent cx="713232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12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u w:val="single" w:color="auto"/>
          <w:color w:val="0000EE"/>
        </w:rPr>
        <w:t>Exhibit 99.1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  <w:t>List of Directors and their Roles and Functions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900" w:right="1440" w:bottom="1440" w:gutter="0" w:footer="0" w:header="0"/>
        </w:sectPr>
      </w:pPr>
    </w:p>
    <w:bookmarkStart w:id="2" w:name="page3"/>
    <w:bookmarkEnd w:id="2"/>
    <w:p>
      <w:pPr>
        <w:jc w:val="center"/>
        <w:ind w:right="-31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SIGNATURE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firstLine="648"/>
        <w:spacing w:after="0" w:line="282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undersigned, thereunto duly authorized.</w:t>
      </w:r>
    </w:p>
    <w:p>
      <w:pPr>
        <w:spacing w:after="0" w:line="162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SUPER HI INTERNATIONAL HOLDING LTD.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/s/ Ping Shu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3931285</wp:posOffset>
            </wp:positionH>
            <wp:positionV relativeFrom="paragraph">
              <wp:posOffset>17145</wp:posOffset>
            </wp:positionV>
            <wp:extent cx="3206115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61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6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Name: Ping Shu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5640"/>
        <w:spacing w:after="0"/>
        <w:tabs>
          <w:tab w:leader="none" w:pos="6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Director and Chairperson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Date: May 20, 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445770</wp:posOffset>
            </wp:positionV>
            <wp:extent cx="7132320" cy="825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20"/>
          </w:cols>
          <w:pgMar w:left="320" w:top="904" w:right="6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2636520</wp:posOffset>
            </wp:positionH>
            <wp:positionV relativeFrom="paragraph">
              <wp:posOffset>156845</wp:posOffset>
            </wp:positionV>
            <wp:extent cx="1868805" cy="59182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8805" cy="591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3" w:lineRule="exact"/>
        <w:rPr>
          <w:sz w:val="20"/>
          <w:szCs w:val="20"/>
          <w:color w:val="auto"/>
        </w:rPr>
      </w:pPr>
    </w:p>
    <w:p>
      <w:pPr>
        <w:ind w:left="3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SUPER HI INTERNATIONAL HOLDING LTD.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720"/>
        <w:spacing w:after="0" w:line="216" w:lineRule="exact"/>
        <w:rPr>
          <w:sz w:val="20"/>
          <w:szCs w:val="20"/>
          <w:color w:val="auto"/>
        </w:rPr>
      </w:pPr>
      <w:r>
        <w:rPr>
          <w:rFonts w:ascii="PMingLiU" w:cs="PMingLiU" w:eastAsia="PMingLiU" w:hAnsi="PMingLiU"/>
          <w:sz w:val="18"/>
          <w:szCs w:val="18"/>
          <w:color w:val="auto"/>
        </w:rPr>
        <w:t>特海國際控股有限公司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4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(Incorporated in the Cayman Islands with limited liability)</w:t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(HKEX Stock Code: 9658; NASDAQ Symbol: HDL)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List of Directors and their Roles and Functions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right="300"/>
        <w:spacing w:after="0" w:line="2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 members of the board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Board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directors (the “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Director(s)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”) of SUPER HI INTERNATIONAL HOLDING LTD. with effect from May 20, 2026 are set out below:</w:t>
      </w:r>
    </w:p>
    <w:p>
      <w:pPr>
        <w:sectPr>
          <w:pgSz w:w="11900" w:h="16838" w:orient="portrait"/>
          <w:cols w:equalWidth="0" w:num="1">
            <w:col w:w="11240"/>
          </w:cols>
          <w:pgMar w:left="320" w:top="333" w:right="339" w:bottom="1440" w:gutter="0" w:footer="0" w:header="0"/>
        </w:sectPr>
      </w:pPr>
    </w:p>
    <w:p>
      <w:pPr>
        <w:spacing w:after="0" w:line="172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Ms. SHU Ping (</w:t>
      </w:r>
      <w:r>
        <w:rPr>
          <w:rFonts w:ascii="PMingLiU" w:cs="PMingLiU" w:eastAsia="PMingLiU" w:hAnsi="PMingLiU"/>
          <w:sz w:val="18"/>
          <w:szCs w:val="18"/>
          <w:color w:val="auto"/>
        </w:rPr>
        <w:t>舒萍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Mr. LI Yu (</w:t>
      </w:r>
      <w:r>
        <w:rPr>
          <w:rFonts w:ascii="PMingLiU" w:cs="PMingLiU" w:eastAsia="PMingLiU" w:hAnsi="PMingLiU"/>
          <w:sz w:val="18"/>
          <w:szCs w:val="18"/>
          <w:color w:val="auto"/>
        </w:rPr>
        <w:t>李瑜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Mr. YOON Daejin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Ms. JIANG Bingyu (</w:t>
      </w:r>
      <w:r>
        <w:rPr>
          <w:rFonts w:ascii="PMingLiU" w:cs="PMingLiU" w:eastAsia="PMingLiU" w:hAnsi="PMingLiU"/>
          <w:sz w:val="18"/>
          <w:szCs w:val="18"/>
          <w:color w:val="auto"/>
        </w:rPr>
        <w:t>蔣冰遇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19" w:lineRule="exact"/>
        <w:rPr>
          <w:sz w:val="20"/>
          <w:szCs w:val="20"/>
          <w:color w:val="auto"/>
        </w:rPr>
      </w:pPr>
    </w:p>
    <w:p>
      <w:pPr>
        <w:spacing w:after="0" w:line="207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Mr. TAN Kang Uei, Anthony (</w:t>
      </w:r>
      <w:r>
        <w:rPr>
          <w:rFonts w:ascii="PMingLiU" w:cs="PMingLiU" w:eastAsia="PMingLiU" w:hAnsi="PMingLiU"/>
          <w:sz w:val="17"/>
          <w:szCs w:val="17"/>
          <w:color w:val="auto"/>
        </w:rPr>
        <w:t>陳康威</w:t>
      </w: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Mr. TEO Ser Luck (</w:t>
      </w:r>
      <w:r>
        <w:rPr>
          <w:rFonts w:ascii="PMingLiU" w:cs="PMingLiU" w:eastAsia="PMingLiU" w:hAnsi="PMingLiU"/>
          <w:sz w:val="18"/>
          <w:szCs w:val="18"/>
          <w:color w:val="auto"/>
        </w:rPr>
        <w:t>張思樂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spacing w:after="0" w:line="219" w:lineRule="exact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Mr. LIEN Jown Jing Vincent (</w:t>
      </w:r>
      <w:r>
        <w:rPr>
          <w:rFonts w:ascii="PMingLiU" w:cs="PMingLiU" w:eastAsia="PMingLiU" w:hAnsi="PMingLiU"/>
          <w:sz w:val="18"/>
          <w:szCs w:val="18"/>
          <w:color w:val="auto"/>
        </w:rPr>
        <w:t>連宗正</w:t>
      </w: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3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i w:val="1"/>
          <w:iCs w:val="1"/>
          <w:color w:val="auto"/>
        </w:rPr>
        <w:t>(Chairperson of the Board and Non-executive Director)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(Executive Director)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(Executive Director)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(Executive Director)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(Independent non-executive Director)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(Independent non-executive Director)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i w:val="1"/>
          <w:iCs w:val="1"/>
          <w:color w:val="auto"/>
        </w:rPr>
        <w:t>(Independent non-executive Director)</w:t>
      </w:r>
    </w:p>
    <w:p>
      <w:pPr>
        <w:spacing w:after="0" w:line="22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80" w:space="720"/>
            <w:col w:w="6740"/>
          </w:cols>
          <w:pgMar w:left="320" w:top="333" w:right="33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There are three Board committees. The table below provides membership information of these committees on which each Board member serves.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tbl>
      <w:tblPr>
        <w:tblLayout w:type="fixed"/>
        <w:tblInd w:w="1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5080" w:type="dxa"/>
            <w:vAlign w:val="bottom"/>
            <w:tcBorders>
              <w:top w:val="single" w:sz="8" w:color="auto"/>
              <w:left w:val="single" w:sz="8" w:color="auto"/>
              <w:right w:val="single" w:sz="8" w:color="auto"/>
            </w:tcBorders>
          </w:tcPr>
          <w:p>
            <w:pPr>
              <w:ind w:left="2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Committee</w:t>
            </w:r>
          </w:p>
        </w:tc>
        <w:tc>
          <w:tcPr>
            <w:tcW w:w="202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Audit</w:t>
            </w:r>
          </w:p>
        </w:tc>
        <w:tc>
          <w:tcPr>
            <w:tcW w:w="236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9"/>
              </w:rPr>
              <w:t>Remuneration</w:t>
            </w:r>
          </w:p>
        </w:tc>
        <w:tc>
          <w:tcPr>
            <w:tcW w:w="1780" w:type="dxa"/>
            <w:vAlign w:val="bottom"/>
            <w:tcBorders>
              <w:top w:val="single" w:sz="8" w:color="auto"/>
              <w:right w:val="single" w:sz="8" w:color="auto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Nomination</w:t>
            </w:r>
          </w:p>
        </w:tc>
      </w:tr>
      <w:tr>
        <w:trPr>
          <w:trHeight w:val="238"/>
        </w:trPr>
        <w:tc>
          <w:tcPr>
            <w:tcW w:w="50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Director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Committee</w:t>
            </w: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</w:rPr>
              <w:t>Committee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b w:val="1"/>
                <w:bCs w:val="1"/>
                <w:color w:val="auto"/>
                <w:w w:val="98"/>
              </w:rPr>
              <w:t>Committee</w:t>
            </w:r>
          </w:p>
        </w:tc>
      </w:tr>
      <w:tr>
        <w:trPr>
          <w:trHeight w:val="236"/>
        </w:trPr>
        <w:tc>
          <w:tcPr>
            <w:tcW w:w="50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Ms. SHU Ping (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舒萍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Member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lef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Chairperson</w:t>
            </w:r>
          </w:p>
        </w:tc>
      </w:tr>
      <w:tr>
        <w:trPr>
          <w:trHeight w:val="232"/>
        </w:trPr>
        <w:tc>
          <w:tcPr>
            <w:tcW w:w="50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Mr. LI Yu (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李瑜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14"/>
        </w:trPr>
        <w:tc>
          <w:tcPr>
            <w:tcW w:w="50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Mr. YOON Daejin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32"/>
        </w:trPr>
        <w:tc>
          <w:tcPr>
            <w:tcW w:w="50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Ms. JIANG Bingyu (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蔣冰遇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41"/>
        </w:trPr>
        <w:tc>
          <w:tcPr>
            <w:tcW w:w="50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Mr. TAN Kang Uei, Anthony (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陳康威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Member</w:t>
            </w: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Member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Member</w:t>
            </w:r>
          </w:p>
        </w:tc>
      </w:tr>
      <w:tr>
        <w:trPr>
          <w:trHeight w:val="237"/>
        </w:trPr>
        <w:tc>
          <w:tcPr>
            <w:tcW w:w="50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Mr. TEO Ser Luck (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張思樂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Chairperson</w:t>
            </w: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Member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Member</w:t>
            </w:r>
          </w:p>
        </w:tc>
      </w:tr>
      <w:tr>
        <w:trPr>
          <w:trHeight w:val="237"/>
        </w:trPr>
        <w:tc>
          <w:tcPr>
            <w:tcW w:w="5080" w:type="dxa"/>
            <w:vAlign w:val="bottom"/>
            <w:tcBorders>
              <w:left w:val="single" w:sz="8" w:color="auto"/>
              <w:bottom w:val="single" w:sz="8" w:color="auto"/>
              <w:right w:val="single" w:sz="8" w:color="auto"/>
            </w:tcBorders>
          </w:tcPr>
          <w:p>
            <w:pPr>
              <w:ind w:left="20"/>
              <w:spacing w:after="0" w:line="21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Mr. LIEN Jown Jing Vincent (</w:t>
            </w:r>
            <w:r>
              <w:rPr>
                <w:rFonts w:ascii="PMingLiU" w:cs="PMingLiU" w:eastAsia="PMingLiU" w:hAnsi="PMingLiU"/>
                <w:sz w:val="18"/>
                <w:szCs w:val="18"/>
                <w:color w:val="auto"/>
              </w:rPr>
              <w:t>連宗正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)</w:t>
            </w:r>
          </w:p>
        </w:tc>
        <w:tc>
          <w:tcPr>
            <w:tcW w:w="202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Member</w:t>
            </w:r>
          </w:p>
        </w:tc>
        <w:tc>
          <w:tcPr>
            <w:tcW w:w="236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Chairperson</w:t>
            </w:r>
          </w:p>
        </w:tc>
        <w:tc>
          <w:tcPr>
            <w:tcW w:w="1780" w:type="dxa"/>
            <w:vAlign w:val="bottom"/>
            <w:tcBorders>
              <w:bottom w:val="single" w:sz="8" w:color="auto"/>
              <w:right w:val="single" w:sz="8" w:color="auto"/>
            </w:tcBorders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Member</w:t>
            </w:r>
          </w:p>
        </w:tc>
      </w:tr>
      <w:tr>
        <w:trPr>
          <w:trHeight w:val="425"/>
        </w:trPr>
        <w:tc>
          <w:tcPr>
            <w:tcW w:w="5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Singapore, May 20, 2026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675"/>
        </w:trPr>
        <w:tc>
          <w:tcPr>
            <w:tcW w:w="5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1240"/>
      </w:cols>
      <w:pgMar w:left="320" w:top="333" w:right="3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  <w:font w:name="PMingLiU">
    <w:panose1 w:val="02020500000000000000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2026-05-20T05:16:40Z</dcterms:created>
  <dcterms:modified xsi:type="dcterms:W3CDTF">2026-05-20T05:16:40Z</dcterms:modified>
</cp:coreProperties>
</file>